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Style w:val="13"/>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3"/>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3"/>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3"/>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3"/>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3"/>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3"/>
          <w:rFonts w:hint="eastAsia" w:ascii="黑体" w:hAnsi="宋体" w:eastAsia="黑体" w:cs="黑体"/>
          <w:i w:val="0"/>
          <w:iCs w:val="0"/>
          <w:caps w:val="0"/>
          <w:color w:val="333333"/>
          <w:spacing w:val="0"/>
          <w:sz w:val="44"/>
          <w:szCs w:val="44"/>
          <w:highlight w:val="none"/>
          <w:lang w:eastAsia="zh-CN"/>
        </w:rPr>
      </w:pPr>
    </w:p>
    <w:p>
      <w:pPr>
        <w:bidi w:val="0"/>
        <w:jc w:val="center"/>
        <w:rPr>
          <w:rFonts w:hint="eastAsia" w:ascii="黑体" w:hAnsi="黑体" w:eastAsia="黑体" w:cs="黑体"/>
          <w:sz w:val="44"/>
          <w:szCs w:val="44"/>
        </w:rPr>
      </w:pPr>
      <w:bookmarkStart w:id="0" w:name="_Toc25539"/>
      <w:r>
        <w:rPr>
          <w:rFonts w:hint="eastAsia" w:ascii="黑体" w:hAnsi="黑体" w:eastAsia="黑体" w:cs="黑体"/>
          <w:sz w:val="44"/>
          <w:szCs w:val="44"/>
          <w:lang w:eastAsia="zh-CN"/>
        </w:rPr>
        <w:t>庆元县人民检察院（汇总）2023</w:t>
      </w:r>
      <w:r>
        <w:rPr>
          <w:rFonts w:hint="eastAsia" w:ascii="黑体" w:hAnsi="黑体" w:eastAsia="黑体" w:cs="黑体"/>
          <w:sz w:val="44"/>
          <w:szCs w:val="44"/>
        </w:rPr>
        <w:t>年度</w:t>
      </w:r>
      <w:r>
        <w:rPr>
          <w:rFonts w:hint="eastAsia" w:ascii="黑体" w:hAnsi="黑体" w:eastAsia="黑体" w:cs="黑体"/>
          <w:sz w:val="44"/>
          <w:szCs w:val="44"/>
          <w:lang w:eastAsia="zh-CN"/>
        </w:rPr>
        <w:t>部门</w:t>
      </w:r>
      <w:r>
        <w:rPr>
          <w:rFonts w:hint="eastAsia" w:ascii="黑体" w:hAnsi="黑体" w:eastAsia="黑体" w:cs="黑体"/>
          <w:sz w:val="44"/>
          <w:szCs w:val="44"/>
        </w:rPr>
        <w:t>决算</w:t>
      </w:r>
      <w:bookmarkEnd w:id="0"/>
    </w:p>
    <w:p>
      <w:pPr>
        <w:rPr>
          <w:rStyle w:val="13"/>
          <w:rFonts w:hint="eastAsia" w:ascii="仿宋" w:hAnsi="仿宋" w:eastAsia="仿宋" w:cs="仿宋"/>
          <w:b/>
          <w:bCs w:val="0"/>
          <w:i w:val="0"/>
          <w:iCs w:val="0"/>
          <w:caps w:val="0"/>
          <w:color w:val="333333"/>
          <w:spacing w:val="0"/>
          <w:sz w:val="44"/>
          <w:szCs w:val="44"/>
          <w:highlight w:val="none"/>
        </w:rPr>
      </w:pPr>
      <w:r>
        <w:br w:type="page"/>
      </w:r>
    </w:p>
    <w:p>
      <w:pPr>
        <w:pStyle w:val="9"/>
        <w:keepNext w:val="0"/>
        <w:keepLines w:val="0"/>
        <w:widowControl/>
        <w:suppressLineNumbers w:val="0"/>
        <w:ind w:left="0" w:firstLine="0"/>
        <w:jc w:val="both"/>
        <w:rPr>
          <w:rStyle w:val="13"/>
          <w:rFonts w:hint="eastAsia" w:ascii="仿宋" w:hAnsi="仿宋" w:eastAsia="仿宋" w:cs="仿宋"/>
          <w:b/>
          <w:bCs w:val="0"/>
          <w:i w:val="0"/>
          <w:iCs w:val="0"/>
          <w:caps w:val="0"/>
          <w:color w:val="333333"/>
          <w:spacing w:val="0"/>
          <w:sz w:val="44"/>
          <w:szCs w:val="44"/>
          <w:highlight w:val="none"/>
        </w:rPr>
        <w:sectPr>
          <w:pgSz w:w="11906" w:h="16838"/>
          <w:pgMar w:top="1440" w:right="1800" w:bottom="1440" w:left="1800" w:header="851" w:footer="992" w:gutter="0"/>
          <w:pgNumType w:fmt="decimal"/>
          <w:cols w:space="425" w:num="1"/>
          <w:docGrid w:type="lines" w:linePitch="312" w:charSpace="0"/>
        </w:sectPr>
      </w:pPr>
    </w:p>
    <w:p>
      <w:pPr>
        <w:pStyle w:val="9"/>
        <w:keepNext w:val="0"/>
        <w:keepLines w:val="0"/>
        <w:widowControl/>
        <w:suppressLineNumbers w:val="0"/>
        <w:ind w:left="0" w:firstLine="0"/>
        <w:jc w:val="both"/>
        <w:rPr>
          <w:rStyle w:val="13"/>
          <w:rFonts w:hint="eastAsia" w:ascii="仿宋" w:hAnsi="仿宋" w:eastAsia="仿宋" w:cs="仿宋"/>
          <w:b/>
          <w:bCs w:val="0"/>
          <w:i w:val="0"/>
          <w:iCs w:val="0"/>
          <w:caps w:val="0"/>
          <w:color w:val="333333"/>
          <w:spacing w:val="0"/>
          <w:sz w:val="44"/>
          <w:szCs w:val="44"/>
          <w:highlight w:val="none"/>
        </w:rPr>
      </w:pPr>
    </w:p>
    <w:sdt>
      <w:sdtPr>
        <w:rPr>
          <w:rFonts w:ascii="宋体" w:hAnsi="宋体" w:eastAsia="宋体" w:cstheme="minorBidi"/>
          <w:b/>
          <w:bCs/>
          <w:kern w:val="2"/>
          <w:sz w:val="32"/>
          <w:szCs w:val="40"/>
          <w:lang w:val="en-US" w:eastAsia="zh-CN" w:bidi="ar-SA"/>
        </w:rPr>
        <w:id w:val="147464394"/>
        <w:docPartObj>
          <w:docPartGallery w:val="Table of Contents"/>
          <w:docPartUnique/>
        </w:docPartObj>
      </w:sdtPr>
      <w:sdtEndPr>
        <w:rPr>
          <w:rFonts w:hint="default" w:ascii="Arial" w:hAnsi="Arial" w:eastAsia="Arial" w:cs="Arial"/>
          <w:b/>
          <w:bCs/>
          <w:i w:val="0"/>
          <w:iCs w:val="0"/>
          <w:caps w:val="0"/>
          <w:color w:val="333333"/>
          <w:spacing w:val="0"/>
          <w:kern w:val="2"/>
          <w:sz w:val="21"/>
          <w:szCs w:val="13"/>
          <w:highlight w:val="none"/>
          <w:lang w:val="en-US" w:eastAsia="zh-CN" w:bidi="ar-SA"/>
        </w:rPr>
      </w:sdtEndPr>
      <w:sdtContent>
        <w:p>
          <w:pPr>
            <w:spacing w:before="0" w:beforeLines="0" w:after="0" w:afterLines="0" w:line="240" w:lineRule="auto"/>
            <w:ind w:left="0" w:leftChars="0" w:right="0" w:rightChars="0" w:firstLine="0" w:firstLineChars="0"/>
            <w:jc w:val="center"/>
            <w:rPr>
              <w:b/>
              <w:bCs/>
              <w:sz w:val="32"/>
              <w:szCs w:val="40"/>
            </w:rPr>
          </w:pPr>
          <w:r>
            <w:rPr>
              <w:rFonts w:ascii="宋体" w:hAnsi="宋体" w:eastAsia="宋体"/>
              <w:b/>
              <w:bCs/>
              <w:sz w:val="32"/>
              <w:szCs w:val="40"/>
            </w:rPr>
            <w:t>目录</w:t>
          </w:r>
        </w:p>
        <w:p>
          <w:pPr>
            <w:pStyle w:val="7"/>
            <w:tabs>
              <w:tab w:val="right" w:leader="dot" w:pos="8296"/>
            </w:tabs>
          </w:pPr>
          <w:r>
            <w:rPr>
              <w:rFonts w:hint="default" w:ascii="Arial" w:hAnsi="Arial" w:eastAsia="Arial" w:cs="Arial"/>
              <w:i w:val="0"/>
              <w:iCs w:val="0"/>
              <w:caps w:val="0"/>
              <w:color w:val="333333"/>
              <w:spacing w:val="0"/>
              <w:sz w:val="13"/>
              <w:szCs w:val="13"/>
              <w:highlight w:val="none"/>
            </w:rPr>
            <w:fldChar w:fldCharType="begin"/>
          </w:r>
          <w:r>
            <w:rPr>
              <w:rFonts w:hint="default" w:ascii="Arial" w:hAnsi="Arial" w:eastAsia="Arial" w:cs="Arial"/>
              <w:i w:val="0"/>
              <w:iCs w:val="0"/>
              <w:caps w:val="0"/>
              <w:color w:val="333333"/>
              <w:spacing w:val="0"/>
              <w:sz w:val="13"/>
              <w:szCs w:val="13"/>
              <w:highlight w:val="none"/>
            </w:rPr>
            <w:instrText xml:space="preserve">TOC \o "1-2" \h \u</w:instrText>
          </w:r>
          <w:r>
            <w:rPr>
              <w:rFonts w:hint="default" w:ascii="Arial" w:hAnsi="Arial" w:eastAsia="Arial" w:cs="Arial"/>
              <w:i w:val="0"/>
              <w:iCs w:val="0"/>
              <w:caps w:val="0"/>
              <w:color w:val="333333"/>
              <w:spacing w:val="0"/>
              <w:sz w:val="13"/>
              <w:szCs w:val="13"/>
              <w:highlight w:val="none"/>
            </w:rPr>
            <w:fldChar w:fldCharType="separate"/>
          </w:r>
          <w:r>
            <w:fldChar w:fldCharType="begin"/>
          </w:r>
          <w:r>
            <w:instrText xml:space="preserve"> HYPERLINK \l "_Toc_1_2_0000000032" </w:instrText>
          </w:r>
          <w:r>
            <w:fldChar w:fldCharType="separate"/>
          </w:r>
          <w:r>
            <w:rPr>
              <w:b w:val="0"/>
              <w:highlight w:val="none"/>
            </w:rPr>
            <w:t>一、概况</w:t>
          </w:r>
          <w:r>
            <w:tab/>
          </w:r>
          <w:r>
            <w:fldChar w:fldCharType="begin"/>
          </w:r>
          <w:r>
            <w:instrText xml:space="preserve">PAGEREF _Toc_1_2_0000000032 \h</w:instrText>
          </w:r>
          <w:r>
            <w:fldChar w:fldCharType="separate"/>
          </w:r>
          <w:r>
            <w:t>2</w:t>
          </w:r>
          <w:r>
            <w:fldChar w:fldCharType="end"/>
          </w:r>
          <w:r>
            <w:fldChar w:fldCharType="end"/>
          </w:r>
        </w:p>
        <w:p>
          <w:pPr>
            <w:pStyle w:val="8"/>
            <w:tabs>
              <w:tab w:val="right" w:leader="dot" w:pos="8296"/>
            </w:tabs>
          </w:pPr>
          <w:r>
            <w:fldChar w:fldCharType="begin"/>
          </w:r>
          <w:r>
            <w:instrText xml:space="preserve"> HYPERLINK \l "_Toc_1_2_0000000033" </w:instrText>
          </w:r>
          <w:r>
            <w:fldChar w:fldCharType="separate"/>
          </w:r>
          <w:r>
            <w:rPr>
              <w:b w:val="0"/>
              <w:highlight w:val="none"/>
            </w:rPr>
            <w:t>（一）部门职责</w:t>
          </w:r>
          <w:r>
            <w:tab/>
          </w:r>
          <w:r>
            <w:fldChar w:fldCharType="begin"/>
          </w:r>
          <w:r>
            <w:instrText xml:space="preserve">PAGEREF _Toc_1_2_0000000033 \h</w:instrText>
          </w:r>
          <w:r>
            <w:fldChar w:fldCharType="separate"/>
          </w:r>
          <w:r>
            <w:t>2</w:t>
          </w:r>
          <w:r>
            <w:fldChar w:fldCharType="end"/>
          </w:r>
          <w:r>
            <w:fldChar w:fldCharType="end"/>
          </w:r>
        </w:p>
        <w:p>
          <w:pPr>
            <w:pStyle w:val="8"/>
            <w:tabs>
              <w:tab w:val="right" w:leader="dot" w:pos="8296"/>
            </w:tabs>
          </w:pPr>
          <w:r>
            <w:fldChar w:fldCharType="begin"/>
          </w:r>
          <w:r>
            <w:instrText xml:space="preserve"> HYPERLINK \l "_Toc_1_2_0000000034" </w:instrText>
          </w:r>
          <w:r>
            <w:fldChar w:fldCharType="separate"/>
          </w:r>
          <w:r>
            <w:rPr>
              <w:b w:val="0"/>
              <w:highlight w:val="none"/>
            </w:rPr>
            <w:t>（二）机构设置</w:t>
          </w:r>
          <w:r>
            <w:tab/>
          </w:r>
          <w:r>
            <w:fldChar w:fldCharType="begin"/>
          </w:r>
          <w:r>
            <w:instrText xml:space="preserve">PAGEREF _Toc_1_2_0000000034 \h</w:instrText>
          </w:r>
          <w:r>
            <w:fldChar w:fldCharType="separate"/>
          </w:r>
          <w:r>
            <w:t>2</w:t>
          </w:r>
          <w:r>
            <w:fldChar w:fldCharType="end"/>
          </w:r>
          <w:r>
            <w:fldChar w:fldCharType="end"/>
          </w:r>
        </w:p>
        <w:p>
          <w:pPr>
            <w:pStyle w:val="7"/>
            <w:tabs>
              <w:tab w:val="right" w:leader="dot" w:pos="8296"/>
            </w:tabs>
          </w:pPr>
          <w:r>
            <w:fldChar w:fldCharType="begin"/>
          </w:r>
          <w:r>
            <w:instrText xml:space="preserve"> HYPERLINK \l "_Toc_1_2_0000000035" </w:instrText>
          </w:r>
          <w:r>
            <w:fldChar w:fldCharType="separate"/>
          </w:r>
          <w:r>
            <w:rPr>
              <w:highlight w:val="none"/>
            </w:rPr>
            <w:t>二、2023年度部门决算公开表</w:t>
          </w:r>
          <w:r>
            <w:tab/>
          </w:r>
          <w:r>
            <w:fldChar w:fldCharType="begin"/>
          </w:r>
          <w:r>
            <w:instrText xml:space="preserve">PAGEREF _Toc_1_2_0000000035 \h</w:instrText>
          </w:r>
          <w:r>
            <w:fldChar w:fldCharType="separate"/>
          </w:r>
          <w:r>
            <w:t>4</w:t>
          </w:r>
          <w:r>
            <w:fldChar w:fldCharType="end"/>
          </w:r>
          <w:r>
            <w:fldChar w:fldCharType="end"/>
          </w:r>
        </w:p>
        <w:p>
          <w:pPr>
            <w:pStyle w:val="8"/>
            <w:tabs>
              <w:tab w:val="right" w:leader="dot" w:pos="8296"/>
            </w:tabs>
          </w:pPr>
          <w:r>
            <w:fldChar w:fldCharType="begin"/>
          </w:r>
          <w:r>
            <w:instrText xml:space="preserve"> HYPERLINK \l "_Toc_1_2_0000000036" </w:instrText>
          </w:r>
          <w:r>
            <w:fldChar w:fldCharType="separate"/>
          </w:r>
          <w:r>
            <w:t>2023年度收入支出决算总表</w:t>
          </w:r>
          <w:r>
            <w:tab/>
          </w:r>
          <w:r>
            <w:fldChar w:fldCharType="begin"/>
          </w:r>
          <w:r>
            <w:instrText xml:space="preserve">PAGEREF _Toc_1_2_0000000036 \h</w:instrText>
          </w:r>
          <w:r>
            <w:fldChar w:fldCharType="separate"/>
          </w:r>
          <w:r>
            <w:t>4</w:t>
          </w:r>
          <w:r>
            <w:fldChar w:fldCharType="end"/>
          </w:r>
          <w:r>
            <w:fldChar w:fldCharType="end"/>
          </w:r>
        </w:p>
        <w:p>
          <w:pPr>
            <w:pStyle w:val="8"/>
            <w:tabs>
              <w:tab w:val="right" w:leader="dot" w:pos="8296"/>
            </w:tabs>
          </w:pPr>
          <w:r>
            <w:fldChar w:fldCharType="begin"/>
          </w:r>
          <w:r>
            <w:instrText xml:space="preserve"> HYPERLINK \l "_Toc_1_2_0000000037" </w:instrText>
          </w:r>
          <w:r>
            <w:fldChar w:fldCharType="separate"/>
          </w:r>
          <w:r>
            <w:t>2023年度收入决算表（分单位）</w:t>
          </w:r>
          <w:r>
            <w:tab/>
          </w:r>
          <w:r>
            <w:fldChar w:fldCharType="begin"/>
          </w:r>
          <w:r>
            <w:instrText xml:space="preserve">PAGEREF _Toc_1_2_0000000037 \h</w:instrText>
          </w:r>
          <w:r>
            <w:fldChar w:fldCharType="separate"/>
          </w:r>
          <w:r>
            <w:t>6</w:t>
          </w:r>
          <w:r>
            <w:fldChar w:fldCharType="end"/>
          </w:r>
          <w:r>
            <w:fldChar w:fldCharType="end"/>
          </w:r>
        </w:p>
        <w:p>
          <w:pPr>
            <w:pStyle w:val="8"/>
            <w:tabs>
              <w:tab w:val="right" w:leader="dot" w:pos="8296"/>
            </w:tabs>
          </w:pPr>
          <w:r>
            <w:fldChar w:fldCharType="begin"/>
          </w:r>
          <w:r>
            <w:instrText xml:space="preserve"> HYPERLINK \l "_Toc_1_2_0000000038" </w:instrText>
          </w:r>
          <w:r>
            <w:fldChar w:fldCharType="separate"/>
          </w:r>
          <w:r>
            <w:t>2023年度收入决算表（分科目）</w:t>
          </w:r>
          <w:r>
            <w:tab/>
          </w:r>
          <w:r>
            <w:fldChar w:fldCharType="begin"/>
          </w:r>
          <w:r>
            <w:instrText xml:space="preserve">PAGEREF _Toc_1_2_0000000038 \h</w:instrText>
          </w:r>
          <w:r>
            <w:fldChar w:fldCharType="separate"/>
          </w:r>
          <w:r>
            <w:t>7</w:t>
          </w:r>
          <w:r>
            <w:fldChar w:fldCharType="end"/>
          </w:r>
          <w:r>
            <w:fldChar w:fldCharType="end"/>
          </w:r>
        </w:p>
        <w:p>
          <w:pPr>
            <w:pStyle w:val="8"/>
            <w:tabs>
              <w:tab w:val="right" w:leader="dot" w:pos="8296"/>
            </w:tabs>
          </w:pPr>
          <w:r>
            <w:fldChar w:fldCharType="begin"/>
          </w:r>
          <w:r>
            <w:instrText xml:space="preserve"> HYPERLINK \l "_Toc_1_2_0000000039" </w:instrText>
          </w:r>
          <w:r>
            <w:fldChar w:fldCharType="separate"/>
          </w:r>
          <w:r>
            <w:t>2023年度支出决算表（分单位）</w:t>
          </w:r>
          <w:r>
            <w:tab/>
          </w:r>
          <w:r>
            <w:fldChar w:fldCharType="begin"/>
          </w:r>
          <w:r>
            <w:instrText xml:space="preserve">PAGEREF _Toc_1_2_0000000039 \h</w:instrText>
          </w:r>
          <w:r>
            <w:fldChar w:fldCharType="separate"/>
          </w:r>
          <w:r>
            <w:t>9</w:t>
          </w:r>
          <w:r>
            <w:fldChar w:fldCharType="end"/>
          </w:r>
          <w:r>
            <w:fldChar w:fldCharType="end"/>
          </w:r>
        </w:p>
        <w:p>
          <w:pPr>
            <w:pStyle w:val="8"/>
            <w:tabs>
              <w:tab w:val="right" w:leader="dot" w:pos="8296"/>
            </w:tabs>
          </w:pPr>
          <w:r>
            <w:fldChar w:fldCharType="begin"/>
          </w:r>
          <w:r>
            <w:instrText xml:space="preserve"> HYPERLINK \l "_Toc_1_2_0000000040" </w:instrText>
          </w:r>
          <w:r>
            <w:fldChar w:fldCharType="separate"/>
          </w:r>
          <w:r>
            <w:t>2023年度支出决算表（分科目）</w:t>
          </w:r>
          <w:r>
            <w:tab/>
          </w:r>
          <w:r>
            <w:fldChar w:fldCharType="begin"/>
          </w:r>
          <w:r>
            <w:instrText xml:space="preserve">PAGEREF _Toc_1_2_0000000040 \h</w:instrText>
          </w:r>
          <w:r>
            <w:fldChar w:fldCharType="separate"/>
          </w:r>
          <w:r>
            <w:t>10</w:t>
          </w:r>
          <w:r>
            <w:fldChar w:fldCharType="end"/>
          </w:r>
          <w:r>
            <w:fldChar w:fldCharType="end"/>
          </w:r>
        </w:p>
        <w:p>
          <w:pPr>
            <w:pStyle w:val="8"/>
            <w:tabs>
              <w:tab w:val="right" w:leader="dot" w:pos="8296"/>
            </w:tabs>
          </w:pPr>
          <w:r>
            <w:fldChar w:fldCharType="begin"/>
          </w:r>
          <w:r>
            <w:instrText xml:space="preserve"> HYPERLINK \l "_Toc_1_2_0000000041" </w:instrText>
          </w:r>
          <w:r>
            <w:fldChar w:fldCharType="separate"/>
          </w:r>
          <w:r>
            <w:t>2023年度财政拨款收入支出决算总表</w:t>
          </w:r>
          <w:r>
            <w:tab/>
          </w:r>
          <w:r>
            <w:fldChar w:fldCharType="begin"/>
          </w:r>
          <w:r>
            <w:instrText xml:space="preserve">PAGEREF _Toc_1_2_0000000041 \h</w:instrText>
          </w:r>
          <w:r>
            <w:fldChar w:fldCharType="separate"/>
          </w:r>
          <w:r>
            <w:t>11</w:t>
          </w:r>
          <w:r>
            <w:fldChar w:fldCharType="end"/>
          </w:r>
          <w:r>
            <w:fldChar w:fldCharType="end"/>
          </w:r>
        </w:p>
        <w:p>
          <w:pPr>
            <w:pStyle w:val="8"/>
            <w:tabs>
              <w:tab w:val="right" w:leader="dot" w:pos="8296"/>
            </w:tabs>
          </w:pPr>
          <w:r>
            <w:fldChar w:fldCharType="begin"/>
          </w:r>
          <w:r>
            <w:instrText xml:space="preserve"> HYPERLINK \l "_Toc_1_2_0000000042" </w:instrText>
          </w:r>
          <w:r>
            <w:fldChar w:fldCharType="separate"/>
          </w:r>
          <w:r>
            <w:t>2023年度一般公共预算财政拨款支出决算表</w:t>
          </w:r>
          <w:r>
            <w:tab/>
          </w:r>
          <w:r>
            <w:fldChar w:fldCharType="begin"/>
          </w:r>
          <w:r>
            <w:instrText xml:space="preserve">PAGEREF _Toc_1_2_0000000042 \h</w:instrText>
          </w:r>
          <w:r>
            <w:fldChar w:fldCharType="separate"/>
          </w:r>
          <w:r>
            <w:t>13</w:t>
          </w:r>
          <w:r>
            <w:fldChar w:fldCharType="end"/>
          </w:r>
          <w:r>
            <w:fldChar w:fldCharType="end"/>
          </w:r>
        </w:p>
        <w:p>
          <w:pPr>
            <w:pStyle w:val="8"/>
            <w:tabs>
              <w:tab w:val="right" w:leader="dot" w:pos="8296"/>
            </w:tabs>
          </w:pPr>
          <w:r>
            <w:fldChar w:fldCharType="begin"/>
          </w:r>
          <w:r>
            <w:instrText xml:space="preserve"> HYPERLINK \l "_Toc_1_2_0000000043" </w:instrText>
          </w:r>
          <w:r>
            <w:fldChar w:fldCharType="separate"/>
          </w:r>
          <w:r>
            <w:t>2023年度一般公共预算财政拨款基本支出决算明细表</w:t>
          </w:r>
          <w:r>
            <w:tab/>
          </w:r>
          <w:r>
            <w:fldChar w:fldCharType="begin"/>
          </w:r>
          <w:r>
            <w:instrText xml:space="preserve">PAGEREF _Toc_1_2_0000000043 \h</w:instrText>
          </w:r>
          <w:r>
            <w:fldChar w:fldCharType="separate"/>
          </w:r>
          <w:r>
            <w:t>15</w:t>
          </w:r>
          <w:r>
            <w:fldChar w:fldCharType="end"/>
          </w:r>
          <w:r>
            <w:fldChar w:fldCharType="end"/>
          </w:r>
        </w:p>
        <w:p>
          <w:pPr>
            <w:pStyle w:val="8"/>
            <w:tabs>
              <w:tab w:val="right" w:leader="dot" w:pos="8296"/>
            </w:tabs>
          </w:pPr>
          <w:r>
            <w:fldChar w:fldCharType="begin"/>
          </w:r>
          <w:r>
            <w:instrText xml:space="preserve"> HYPERLINK \l "_Toc_1_2_0000000044" </w:instrText>
          </w:r>
          <w:r>
            <w:fldChar w:fldCharType="separate"/>
          </w:r>
          <w:r>
            <w:t>2023年度政府性基金预算财政拨款收入支出决算表</w:t>
          </w:r>
          <w:r>
            <w:tab/>
          </w:r>
          <w:r>
            <w:fldChar w:fldCharType="begin"/>
          </w:r>
          <w:r>
            <w:instrText xml:space="preserve">PAGEREF _Toc_1_2_0000000044 \h</w:instrText>
          </w:r>
          <w:r>
            <w:fldChar w:fldCharType="separate"/>
          </w:r>
          <w:r>
            <w:t>17</w:t>
          </w:r>
          <w:r>
            <w:fldChar w:fldCharType="end"/>
          </w:r>
          <w:r>
            <w:fldChar w:fldCharType="end"/>
          </w:r>
        </w:p>
        <w:p>
          <w:pPr>
            <w:pStyle w:val="8"/>
            <w:tabs>
              <w:tab w:val="right" w:leader="dot" w:pos="8296"/>
            </w:tabs>
          </w:pPr>
          <w:r>
            <w:fldChar w:fldCharType="begin"/>
          </w:r>
          <w:r>
            <w:instrText xml:space="preserve"> HYPERLINK \l "_Toc_1_2_0000000045" </w:instrText>
          </w:r>
          <w:r>
            <w:fldChar w:fldCharType="separate"/>
          </w:r>
          <w:r>
            <w:t>2023年度国有资本经营预算财政拨款支出决算表</w:t>
          </w:r>
          <w:r>
            <w:tab/>
          </w:r>
          <w:r>
            <w:fldChar w:fldCharType="begin"/>
          </w:r>
          <w:r>
            <w:instrText xml:space="preserve">PAGEREF _Toc_1_2_0000000045 \h</w:instrText>
          </w:r>
          <w:r>
            <w:fldChar w:fldCharType="separate"/>
          </w:r>
          <w:r>
            <w:t>18</w:t>
          </w:r>
          <w:r>
            <w:fldChar w:fldCharType="end"/>
          </w:r>
          <w:r>
            <w:fldChar w:fldCharType="end"/>
          </w:r>
        </w:p>
        <w:p>
          <w:pPr>
            <w:pStyle w:val="8"/>
            <w:tabs>
              <w:tab w:val="right" w:leader="dot" w:pos="8296"/>
            </w:tabs>
          </w:pPr>
          <w:r>
            <w:fldChar w:fldCharType="begin"/>
          </w:r>
          <w:r>
            <w:instrText xml:space="preserve"> HYPERLINK \l "_Toc_1_2_0000000046" </w:instrText>
          </w:r>
          <w:r>
            <w:fldChar w:fldCharType="separate"/>
          </w:r>
          <w:r>
            <w:t>2023年度财政拨款“三公”经费支出决算表</w:t>
          </w:r>
          <w:r>
            <w:tab/>
          </w:r>
          <w:r>
            <w:fldChar w:fldCharType="begin"/>
          </w:r>
          <w:r>
            <w:instrText xml:space="preserve">PAGEREF _Toc_1_2_0000000046 \h</w:instrText>
          </w:r>
          <w:r>
            <w:fldChar w:fldCharType="separate"/>
          </w:r>
          <w:r>
            <w:t>19</w:t>
          </w:r>
          <w:r>
            <w:fldChar w:fldCharType="end"/>
          </w:r>
          <w:r>
            <w:fldChar w:fldCharType="end"/>
          </w:r>
        </w:p>
        <w:p>
          <w:pPr>
            <w:pStyle w:val="7"/>
            <w:tabs>
              <w:tab w:val="right" w:leader="dot" w:pos="8296"/>
            </w:tabs>
          </w:pPr>
          <w:r>
            <w:fldChar w:fldCharType="begin"/>
          </w:r>
          <w:r>
            <w:instrText xml:space="preserve"> HYPERLINK \l "_Toc_1_2_0000000047" </w:instrText>
          </w:r>
          <w:r>
            <w:fldChar w:fldCharType="separate"/>
          </w:r>
          <w:r>
            <w:rPr>
              <w:b w:val="0"/>
              <w:highlight w:val="none"/>
            </w:rPr>
            <w:t>三、2023年度部门决算情况说明</w:t>
          </w:r>
          <w:r>
            <w:tab/>
          </w:r>
          <w:r>
            <w:fldChar w:fldCharType="begin"/>
          </w:r>
          <w:r>
            <w:instrText xml:space="preserve">PAGEREF _Toc_1_2_0000000047 \h</w:instrText>
          </w:r>
          <w:r>
            <w:fldChar w:fldCharType="separate"/>
          </w:r>
          <w:r>
            <w:t>20</w:t>
          </w:r>
          <w:r>
            <w:fldChar w:fldCharType="end"/>
          </w:r>
          <w:r>
            <w:fldChar w:fldCharType="end"/>
          </w:r>
        </w:p>
        <w:p>
          <w:pPr>
            <w:pStyle w:val="8"/>
            <w:tabs>
              <w:tab w:val="right" w:leader="dot" w:pos="8296"/>
            </w:tabs>
          </w:pPr>
          <w:r>
            <w:fldChar w:fldCharType="begin"/>
          </w:r>
          <w:r>
            <w:instrText xml:space="preserve"> HYPERLINK \l "_Toc_1_2_0000000048" </w:instrText>
          </w:r>
          <w:r>
            <w:fldChar w:fldCharType="separate"/>
          </w:r>
          <w:r>
            <w:t>（一）收入支出决算总体情况说明</w:t>
          </w:r>
          <w:r>
            <w:tab/>
          </w:r>
          <w:r>
            <w:fldChar w:fldCharType="begin"/>
          </w:r>
          <w:r>
            <w:instrText xml:space="preserve">PAGEREF _Toc_1_2_0000000048 \h</w:instrText>
          </w:r>
          <w:r>
            <w:fldChar w:fldCharType="separate"/>
          </w:r>
          <w:r>
            <w:t>20</w:t>
          </w:r>
          <w:r>
            <w:fldChar w:fldCharType="end"/>
          </w:r>
          <w:r>
            <w:fldChar w:fldCharType="end"/>
          </w:r>
        </w:p>
        <w:p>
          <w:pPr>
            <w:pStyle w:val="8"/>
            <w:tabs>
              <w:tab w:val="right" w:leader="dot" w:pos="8296"/>
            </w:tabs>
          </w:pPr>
          <w:r>
            <w:fldChar w:fldCharType="begin"/>
          </w:r>
          <w:r>
            <w:instrText xml:space="preserve"> HYPERLINK \l "_Toc_1_2_0000000049" </w:instrText>
          </w:r>
          <w:r>
            <w:fldChar w:fldCharType="separate"/>
          </w:r>
          <w:r>
            <w:rPr>
              <w:b w:val="0"/>
              <w:highlight w:val="none"/>
            </w:rPr>
            <w:t>（二）收入决算情况说明</w:t>
          </w:r>
          <w:r>
            <w:tab/>
          </w:r>
          <w:r>
            <w:fldChar w:fldCharType="begin"/>
          </w:r>
          <w:r>
            <w:instrText xml:space="preserve">PAGEREF _Toc_1_2_0000000049 \h</w:instrText>
          </w:r>
          <w:r>
            <w:fldChar w:fldCharType="separate"/>
          </w:r>
          <w:r>
            <w:t>20</w:t>
          </w:r>
          <w:r>
            <w:fldChar w:fldCharType="end"/>
          </w:r>
          <w:r>
            <w:fldChar w:fldCharType="end"/>
          </w:r>
        </w:p>
        <w:p>
          <w:pPr>
            <w:pStyle w:val="8"/>
            <w:tabs>
              <w:tab w:val="right" w:leader="dot" w:pos="8296"/>
            </w:tabs>
          </w:pPr>
          <w:r>
            <w:fldChar w:fldCharType="begin"/>
          </w:r>
          <w:r>
            <w:instrText xml:space="preserve"> HYPERLINK \l "_Toc_1_2_0000000050" </w:instrText>
          </w:r>
          <w:r>
            <w:fldChar w:fldCharType="separate"/>
          </w:r>
          <w:r>
            <w:t>（三）支出决算情况说明</w:t>
          </w:r>
          <w:r>
            <w:tab/>
          </w:r>
          <w:r>
            <w:fldChar w:fldCharType="begin"/>
          </w:r>
          <w:r>
            <w:instrText xml:space="preserve">PAGEREF _Toc_1_2_0000000050 \h</w:instrText>
          </w:r>
          <w:r>
            <w:fldChar w:fldCharType="separate"/>
          </w:r>
          <w:r>
            <w:t>20</w:t>
          </w:r>
          <w:r>
            <w:fldChar w:fldCharType="end"/>
          </w:r>
          <w:r>
            <w:fldChar w:fldCharType="end"/>
          </w:r>
        </w:p>
        <w:p>
          <w:pPr>
            <w:pStyle w:val="8"/>
            <w:tabs>
              <w:tab w:val="right" w:leader="dot" w:pos="8296"/>
            </w:tabs>
          </w:pPr>
          <w:r>
            <w:fldChar w:fldCharType="begin"/>
          </w:r>
          <w:r>
            <w:instrText xml:space="preserve"> HYPERLINK \l "_Toc_1_2_0000000051" </w:instrText>
          </w:r>
          <w:r>
            <w:fldChar w:fldCharType="separate"/>
          </w:r>
          <w:r>
            <w:t>（四）财政拨款收入支出决算总体情况说明</w:t>
          </w:r>
          <w:r>
            <w:tab/>
          </w:r>
          <w:r>
            <w:fldChar w:fldCharType="begin"/>
          </w:r>
          <w:r>
            <w:instrText xml:space="preserve">PAGEREF _Toc_1_2_0000000051 \h</w:instrText>
          </w:r>
          <w:r>
            <w:fldChar w:fldCharType="separate"/>
          </w:r>
          <w:r>
            <w:t>20</w:t>
          </w:r>
          <w:r>
            <w:fldChar w:fldCharType="end"/>
          </w:r>
          <w:r>
            <w:fldChar w:fldCharType="end"/>
          </w:r>
        </w:p>
        <w:p>
          <w:pPr>
            <w:pStyle w:val="8"/>
            <w:tabs>
              <w:tab w:val="right" w:leader="dot" w:pos="8296"/>
            </w:tabs>
          </w:pPr>
          <w:r>
            <w:fldChar w:fldCharType="begin"/>
          </w:r>
          <w:r>
            <w:instrText xml:space="preserve"> HYPERLINK \l "_Toc_1_2_0000000052" </w:instrText>
          </w:r>
          <w:r>
            <w:fldChar w:fldCharType="separate"/>
          </w:r>
          <w:r>
            <w:t>（五）一般公共预算财政拨款支出决算情况说明</w:t>
          </w:r>
          <w:r>
            <w:tab/>
          </w:r>
          <w:r>
            <w:fldChar w:fldCharType="begin"/>
          </w:r>
          <w:r>
            <w:instrText xml:space="preserve">PAGEREF _Toc_1_2_0000000052 \h</w:instrText>
          </w:r>
          <w:r>
            <w:fldChar w:fldCharType="separate"/>
          </w:r>
          <w:r>
            <w:t>21</w:t>
          </w:r>
          <w:r>
            <w:fldChar w:fldCharType="end"/>
          </w:r>
          <w:r>
            <w:fldChar w:fldCharType="end"/>
          </w:r>
        </w:p>
        <w:p>
          <w:pPr>
            <w:pStyle w:val="8"/>
            <w:tabs>
              <w:tab w:val="right" w:leader="dot" w:pos="8296"/>
            </w:tabs>
          </w:pPr>
          <w:r>
            <w:fldChar w:fldCharType="begin"/>
          </w:r>
          <w:r>
            <w:instrText xml:space="preserve"> HYPERLINK \l "_Toc_1_2_0000000053" </w:instrText>
          </w:r>
          <w:r>
            <w:fldChar w:fldCharType="separate"/>
          </w:r>
          <w:r>
            <w:t>（六）一般公共预算财政拨款基本支出决算情况说明</w:t>
          </w:r>
          <w:r>
            <w:tab/>
          </w:r>
          <w:r>
            <w:fldChar w:fldCharType="begin"/>
          </w:r>
          <w:r>
            <w:instrText xml:space="preserve">PAGEREF _Toc_1_2_0000000053 \h</w:instrText>
          </w:r>
          <w:r>
            <w:fldChar w:fldCharType="separate"/>
          </w:r>
          <w:r>
            <w:t>22</w:t>
          </w:r>
          <w:r>
            <w:fldChar w:fldCharType="end"/>
          </w:r>
          <w:r>
            <w:fldChar w:fldCharType="end"/>
          </w:r>
        </w:p>
        <w:p>
          <w:pPr>
            <w:pStyle w:val="8"/>
            <w:tabs>
              <w:tab w:val="right" w:leader="dot" w:pos="8296"/>
            </w:tabs>
          </w:pPr>
          <w:r>
            <w:fldChar w:fldCharType="begin"/>
          </w:r>
          <w:r>
            <w:instrText xml:space="preserve"> HYPERLINK \l "_Toc_1_2_0000000054" </w:instrText>
          </w:r>
          <w:r>
            <w:fldChar w:fldCharType="separate"/>
          </w:r>
          <w:r>
            <w:t>（七）政府性基金预算财政拨款支出决算总体情况说明</w:t>
          </w:r>
          <w:r>
            <w:tab/>
          </w:r>
          <w:r>
            <w:fldChar w:fldCharType="begin"/>
          </w:r>
          <w:r>
            <w:instrText xml:space="preserve">PAGEREF _Toc_1_2_0000000054 \h</w:instrText>
          </w:r>
          <w:r>
            <w:fldChar w:fldCharType="separate"/>
          </w:r>
          <w:r>
            <w:t>23</w:t>
          </w:r>
          <w:r>
            <w:fldChar w:fldCharType="end"/>
          </w:r>
          <w:r>
            <w:fldChar w:fldCharType="end"/>
          </w:r>
        </w:p>
        <w:p>
          <w:pPr>
            <w:pStyle w:val="8"/>
            <w:tabs>
              <w:tab w:val="right" w:leader="dot" w:pos="8296"/>
            </w:tabs>
          </w:pPr>
          <w:r>
            <w:fldChar w:fldCharType="begin"/>
          </w:r>
          <w:r>
            <w:instrText xml:space="preserve"> HYPERLINK \l "_Toc_1_2_0000000055" </w:instrText>
          </w:r>
          <w:r>
            <w:fldChar w:fldCharType="separate"/>
          </w:r>
          <w:r>
            <w:t>（八）国有资本经营预算财政拨款支出决算总体情况说明</w:t>
          </w:r>
          <w:r>
            <w:tab/>
          </w:r>
          <w:r>
            <w:fldChar w:fldCharType="begin"/>
          </w:r>
          <w:r>
            <w:instrText xml:space="preserve">PAGEREF _Toc_1_2_0000000055 \h</w:instrText>
          </w:r>
          <w:r>
            <w:fldChar w:fldCharType="separate"/>
          </w:r>
          <w:r>
            <w:t>23</w:t>
          </w:r>
          <w:r>
            <w:fldChar w:fldCharType="end"/>
          </w:r>
          <w:r>
            <w:fldChar w:fldCharType="end"/>
          </w:r>
        </w:p>
        <w:p>
          <w:pPr>
            <w:pStyle w:val="8"/>
            <w:tabs>
              <w:tab w:val="right" w:leader="dot" w:pos="8296"/>
            </w:tabs>
          </w:pPr>
          <w:r>
            <w:fldChar w:fldCharType="begin"/>
          </w:r>
          <w:r>
            <w:instrText xml:space="preserve"> HYPERLINK \l "_Toc_1_2_0000000056" </w:instrText>
          </w:r>
          <w:r>
            <w:fldChar w:fldCharType="separate"/>
          </w:r>
          <w:r>
            <w:t>（九）财政拨款“三公”经费支出决算情况说明</w:t>
          </w:r>
          <w:r>
            <w:tab/>
          </w:r>
          <w:r>
            <w:fldChar w:fldCharType="begin"/>
          </w:r>
          <w:r>
            <w:instrText xml:space="preserve">PAGEREF _Toc_1_2_0000000056 \h</w:instrText>
          </w:r>
          <w:r>
            <w:fldChar w:fldCharType="separate"/>
          </w:r>
          <w:r>
            <w:t>23</w:t>
          </w:r>
          <w:r>
            <w:fldChar w:fldCharType="end"/>
          </w:r>
          <w:r>
            <w:fldChar w:fldCharType="end"/>
          </w:r>
        </w:p>
        <w:p>
          <w:pPr>
            <w:pStyle w:val="8"/>
            <w:tabs>
              <w:tab w:val="right" w:leader="dot" w:pos="8296"/>
            </w:tabs>
          </w:pPr>
          <w:r>
            <w:fldChar w:fldCharType="begin"/>
          </w:r>
          <w:r>
            <w:instrText xml:space="preserve"> HYPERLINK \l "_Toc_1_2_0000000057" </w:instrText>
          </w:r>
          <w:r>
            <w:fldChar w:fldCharType="separate"/>
          </w:r>
          <w:r>
            <w:t>（十）机关运行经费支出说明</w:t>
          </w:r>
          <w:r>
            <w:tab/>
          </w:r>
          <w:r>
            <w:fldChar w:fldCharType="begin"/>
          </w:r>
          <w:r>
            <w:instrText xml:space="preserve">PAGEREF _Toc_1_2_0000000057 \h</w:instrText>
          </w:r>
          <w:r>
            <w:fldChar w:fldCharType="separate"/>
          </w:r>
          <w:r>
            <w:t>25</w:t>
          </w:r>
          <w:r>
            <w:fldChar w:fldCharType="end"/>
          </w:r>
          <w:r>
            <w:fldChar w:fldCharType="end"/>
          </w:r>
        </w:p>
        <w:p>
          <w:pPr>
            <w:pStyle w:val="8"/>
            <w:tabs>
              <w:tab w:val="right" w:leader="dot" w:pos="8296"/>
            </w:tabs>
          </w:pPr>
          <w:r>
            <w:fldChar w:fldCharType="begin"/>
          </w:r>
          <w:r>
            <w:instrText xml:space="preserve"> HYPERLINK \l "_Toc_1_2_0000000058" </w:instrText>
          </w:r>
          <w:r>
            <w:fldChar w:fldCharType="separate"/>
          </w:r>
          <w:r>
            <w:t>（十一）政府采购支出说明</w:t>
          </w:r>
          <w:r>
            <w:tab/>
          </w:r>
          <w:r>
            <w:fldChar w:fldCharType="begin"/>
          </w:r>
          <w:r>
            <w:instrText xml:space="preserve">PAGEREF _Toc_1_2_0000000058 \h</w:instrText>
          </w:r>
          <w:r>
            <w:fldChar w:fldCharType="separate"/>
          </w:r>
          <w:r>
            <w:t>25</w:t>
          </w:r>
          <w:r>
            <w:fldChar w:fldCharType="end"/>
          </w:r>
          <w:r>
            <w:fldChar w:fldCharType="end"/>
          </w:r>
        </w:p>
        <w:p>
          <w:pPr>
            <w:pStyle w:val="8"/>
            <w:tabs>
              <w:tab w:val="right" w:leader="dot" w:pos="8296"/>
            </w:tabs>
          </w:pPr>
          <w:r>
            <w:fldChar w:fldCharType="begin"/>
          </w:r>
          <w:r>
            <w:instrText xml:space="preserve"> HYPERLINK \l "_Toc_1_2_0000000059" </w:instrText>
          </w:r>
          <w:r>
            <w:fldChar w:fldCharType="separate"/>
          </w:r>
          <w:r>
            <w:t>（十二）国有资产占有使用情况说明</w:t>
          </w:r>
          <w:r>
            <w:tab/>
          </w:r>
          <w:r>
            <w:fldChar w:fldCharType="begin"/>
          </w:r>
          <w:r>
            <w:instrText xml:space="preserve">PAGEREF _Toc_1_2_0000000059 \h</w:instrText>
          </w:r>
          <w:r>
            <w:fldChar w:fldCharType="separate"/>
          </w:r>
          <w:r>
            <w:t>26</w:t>
          </w:r>
          <w:r>
            <w:fldChar w:fldCharType="end"/>
          </w:r>
          <w:r>
            <w:fldChar w:fldCharType="end"/>
          </w:r>
        </w:p>
        <w:p>
          <w:pPr>
            <w:pStyle w:val="8"/>
            <w:tabs>
              <w:tab w:val="right" w:leader="dot" w:pos="8296"/>
            </w:tabs>
          </w:pPr>
          <w:r>
            <w:fldChar w:fldCharType="begin"/>
          </w:r>
          <w:r>
            <w:instrText xml:space="preserve"> HYPERLINK \l "_Toc_1_2_0000000060" </w:instrText>
          </w:r>
          <w:r>
            <w:fldChar w:fldCharType="separate"/>
          </w:r>
          <w:r>
            <w:t>（十三）预算绩效情况说明</w:t>
          </w:r>
          <w:r>
            <w:tab/>
          </w:r>
          <w:r>
            <w:fldChar w:fldCharType="begin"/>
          </w:r>
          <w:r>
            <w:instrText xml:space="preserve">PAGEREF _Toc_1_2_0000000060 \h</w:instrText>
          </w:r>
          <w:r>
            <w:fldChar w:fldCharType="separate"/>
          </w:r>
          <w:r>
            <w:t>26</w:t>
          </w:r>
          <w:r>
            <w:fldChar w:fldCharType="end"/>
          </w:r>
          <w:r>
            <w:fldChar w:fldCharType="end"/>
          </w:r>
        </w:p>
        <w:p>
          <w:pPr>
            <w:pStyle w:val="7"/>
            <w:tabs>
              <w:tab w:val="right" w:leader="dot" w:pos="8296"/>
            </w:tabs>
          </w:pPr>
          <w:r>
            <w:fldChar w:fldCharType="begin"/>
          </w:r>
          <w:r>
            <w:instrText xml:space="preserve"> HYPERLINK \l "_Toc_1_2_0000000061" </w:instrText>
          </w:r>
          <w:r>
            <w:fldChar w:fldCharType="separate"/>
          </w:r>
          <w:r>
            <w:t>四、名词解释</w:t>
          </w:r>
          <w:r>
            <w:tab/>
          </w:r>
          <w:r>
            <w:fldChar w:fldCharType="begin"/>
          </w:r>
          <w:r>
            <w:instrText xml:space="preserve">PAGEREF _Toc_1_2_0000000061 \h</w:instrText>
          </w:r>
          <w:r>
            <w:fldChar w:fldCharType="separate"/>
          </w:r>
          <w:r>
            <w:t>33</w:t>
          </w:r>
          <w:r>
            <w:fldChar w:fldCharType="end"/>
          </w:r>
          <w:r>
            <w:fldChar w:fldCharType="end"/>
          </w:r>
        </w:p>
        <w:p>
          <w:pPr>
            <w:pStyle w:val="7"/>
            <w:tabs>
              <w:tab w:val="right" w:leader="dot" w:pos="8296"/>
            </w:tabs>
          </w:pPr>
          <w:r>
            <w:fldChar w:fldCharType="begin"/>
          </w:r>
          <w:r>
            <w:instrText xml:space="preserve"> HYPERLINK \l "_Toc_1_2_0000000062" </w:instrText>
          </w:r>
          <w:r>
            <w:fldChar w:fldCharType="separate"/>
          </w:r>
          <w:r>
            <w:t>五、附件</w:t>
          </w:r>
          <w:r>
            <w:tab/>
          </w:r>
          <w:r>
            <w:fldChar w:fldCharType="begin"/>
          </w:r>
          <w:r>
            <w:instrText xml:space="preserve">PAGEREF _Toc_1_2_0000000062 \h</w:instrText>
          </w:r>
          <w:r>
            <w:fldChar w:fldCharType="separate"/>
          </w:r>
          <w:r>
            <w:t>35</w:t>
          </w:r>
          <w:r>
            <w:fldChar w:fldCharType="end"/>
          </w:r>
          <w:r>
            <w:fldChar w:fldCharType="end"/>
          </w:r>
        </w:p>
        <w:p>
          <w:pPr>
            <w:keepNext w:val="0"/>
            <w:keepLines w:val="0"/>
            <w:widowControl/>
            <w:suppressLineNumbers w:val="0"/>
            <w:spacing w:before="0" w:beforeAutospacing="0" w:after="0" w:afterAutospacing="0" w:line="600" w:lineRule="atLeast"/>
            <w:ind w:right="0"/>
            <w:jc w:val="both"/>
          </w:pPr>
          <w:r>
            <w:rPr>
              <w:rFonts w:hint="default" w:ascii="Arial" w:hAnsi="Arial" w:eastAsia="Arial" w:cs="Arial"/>
              <w:i w:val="0"/>
              <w:iCs w:val="0"/>
              <w:caps w:val="0"/>
              <w:color w:val="333333"/>
              <w:spacing w:val="0"/>
              <w:szCs w:val="13"/>
              <w:highlight w:val="none"/>
            </w:rPr>
            <w:fldChar w:fldCharType="end"/>
          </w:r>
          <w:bookmarkStart w:id="1" w:name="_Toc25986"/>
        </w:p>
      </w:sdtContent>
    </w:sdt>
    <w:p>
      <w:pPr>
        <w:rPr>
          <w:rFonts w:hint="eastAsia" w:ascii="黑体" w:hAnsi="黑体" w:eastAsia="黑体"/>
          <w:b w:val="0"/>
          <w:bCs/>
          <w:color w:val="000000"/>
          <w:sz w:val="32"/>
          <w:szCs w:val="24"/>
          <w:highlight w:val="none"/>
          <w:lang w:val="en-US" w:eastAsia="zh-CN"/>
        </w:rPr>
      </w:pPr>
      <w:r>
        <w:br w:type="page"/>
      </w:r>
    </w:p>
    <w:p>
      <w:pPr>
        <w:keepNext w:val="0"/>
        <w:keepLines w:val="0"/>
        <w:widowControl/>
        <w:suppressLineNumbers w:val="0"/>
        <w:spacing w:before="0" w:beforeAutospacing="0" w:after="0" w:afterAutospacing="0" w:line="600" w:lineRule="atLeast"/>
        <w:ind w:right="0" w:rightChars="0"/>
        <w:jc w:val="both"/>
        <w:outlineLvl w:val="0"/>
        <w:rPr>
          <w:rFonts w:hint="default" w:ascii="黑体" w:hAnsi="黑体" w:eastAsia="黑体"/>
          <w:b w:val="0"/>
          <w:bCs/>
          <w:color w:val="000000"/>
          <w:sz w:val="32"/>
          <w:szCs w:val="24"/>
          <w:highlight w:val="none"/>
          <w:lang w:val="en-US" w:eastAsia="zh-CN"/>
        </w:rPr>
      </w:pPr>
      <w:bookmarkStart w:id="2" w:name="_Toc_1_2_0000000032"/>
      <w:r>
        <w:rPr>
          <w:rFonts w:hint="eastAsia" w:ascii="黑体" w:hAnsi="黑体" w:eastAsia="黑体"/>
          <w:b w:val="0"/>
          <w:bCs/>
          <w:color w:val="000000"/>
          <w:sz w:val="32"/>
          <w:szCs w:val="24"/>
          <w:highlight w:val="none"/>
          <w:lang w:val="en-US" w:eastAsia="zh-CN"/>
        </w:rPr>
        <w:t>一、概况</w:t>
      </w:r>
      <w:bookmarkEnd w:id="1"/>
      <w:bookmarkEnd w:id="2"/>
    </w:p>
    <w:p>
      <w:pPr>
        <w:spacing w:beforeLines="0" w:afterLines="0" w:line="600" w:lineRule="exact"/>
        <w:ind w:firstLine="641"/>
        <w:jc w:val="left"/>
        <w:outlineLvl w:val="1"/>
        <w:rPr>
          <w:rFonts w:hint="default" w:ascii="黑体" w:hAnsi="宋体" w:eastAsia="楷体" w:cs="黑体"/>
          <w:bCs/>
          <w:kern w:val="2"/>
          <w:sz w:val="32"/>
          <w:szCs w:val="32"/>
          <w:highlight w:val="none"/>
          <w:lang w:val="en-US" w:eastAsia="zh-CN"/>
        </w:rPr>
      </w:pPr>
      <w:bookmarkStart w:id="3" w:name="_Toc18250"/>
      <w:bookmarkStart w:id="4" w:name="_Toc_1_2_0000000033"/>
      <w:r>
        <w:rPr>
          <w:rFonts w:hint="eastAsia" w:ascii="楷体" w:hAnsi="楷体" w:eastAsia="楷体"/>
          <w:b w:val="0"/>
          <w:bCs/>
          <w:color w:val="000000"/>
          <w:sz w:val="32"/>
          <w:szCs w:val="24"/>
          <w:highlight w:val="none"/>
          <w:lang w:val="en-US" w:eastAsia="zh-CN"/>
        </w:rPr>
        <w:t>（一）部门职责</w:t>
      </w:r>
      <w:bookmarkEnd w:id="3"/>
      <w:bookmarkEnd w:id="4"/>
    </w:p>
    <w:p>
      <w:pPr>
        <w:spacing w:beforeLines="0" w:afterLines="0" w:line="600" w:lineRule="exact"/>
        <w:ind w:firstLine="640"/>
        <w:rPr>
          <w:rFonts w:hint="eastAsia" w:ascii="仿宋" w:hAnsi="仿宋" w:eastAsia="仿宋"/>
          <w:color w:val="000000"/>
          <w:sz w:val="32"/>
          <w:szCs w:val="24"/>
          <w:highlight w:val="none"/>
        </w:rPr>
      </w:pPr>
      <w:r>
        <w:rPr>
          <w:rFonts w:hint="eastAsia" w:ascii="仿宋" w:hAnsi="仿宋" w:eastAsia="仿宋" w:cs="仿宋"/>
          <w:kern w:val="0"/>
          <w:sz w:val="32"/>
          <w:szCs w:val="32"/>
          <w:highlight w:val="none"/>
          <w:lang w:val="en-US" w:eastAsia="zh-CN"/>
        </w:rPr>
        <w:t>1. 主要职能。</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人民检察院是国家的法律监督机关，为维护国家宪法和法律的统一、正确实施而依法独立行使检察权。主要职责是：(1)依法对公安机关侦查的案件进行审查，决定是否逮捕；对公安机关的侦查活动是否合法，实行监督。(2)依法对刑事案件提起公诉，支持公诉；对于人民法院的审判活动是否合法实行监督。(3)依法对刑事案件判决、裁定的执行和监狱、看守所等劳动改造机关的活动是否合法，实行监督。(4)依法对民事审判活动和行政诉讼实行法律监督，对人民法院已经发生法律效力的民事、行政判决和裁定，发现有违反法律、法规等情况，按审判监督程序提出抗诉。</w:t>
      </w:r>
    </w:p>
    <w:p>
      <w:pPr>
        <w:spacing w:beforeLines="0" w:afterLines="0" w:line="600" w:lineRule="exact"/>
        <w:ind w:firstLine="641"/>
        <w:jc w:val="left"/>
        <w:outlineLvl w:val="1"/>
        <w:rPr>
          <w:rFonts w:hint="eastAsia" w:ascii="仿宋" w:hAnsi="仿宋" w:eastAsia="仿宋" w:cs="仿宋"/>
          <w:b w:val="0"/>
          <w:bCs/>
          <w:kern w:val="0"/>
          <w:sz w:val="32"/>
          <w:szCs w:val="32"/>
          <w:highlight w:val="none"/>
          <w:lang w:val="en-US" w:eastAsia="zh-CN"/>
        </w:rPr>
      </w:pPr>
      <w:bookmarkStart w:id="5" w:name="_Toc_1_2_0000000034"/>
      <w:bookmarkStart w:id="6" w:name="_Toc24572"/>
      <w:r>
        <w:rPr>
          <w:rFonts w:hint="eastAsia" w:ascii="楷体" w:hAnsi="楷体" w:eastAsia="楷体"/>
          <w:b w:val="0"/>
          <w:bCs/>
          <w:color w:val="000000"/>
          <w:sz w:val="32"/>
          <w:szCs w:val="24"/>
          <w:highlight w:val="none"/>
          <w:lang w:val="en-US" w:eastAsia="zh-CN"/>
        </w:rPr>
        <w:t>（二）机构设置</w:t>
      </w:r>
      <w:bookmarkEnd w:id="5"/>
      <w:bookmarkEnd w:id="6"/>
    </w:p>
    <w:p>
      <w:pPr>
        <w:spacing w:beforeLines="0" w:afterLines="0" w:line="600" w:lineRule="exact"/>
        <w:ind w:firstLine="640"/>
        <w:rPr>
          <w:rFonts w:hint="eastAsia" w:ascii="仿宋" w:hAnsi="仿宋" w:eastAsia="仿宋"/>
          <w:color w:val="000000"/>
          <w:sz w:val="32"/>
          <w:szCs w:val="24"/>
          <w:highlight w:val="none"/>
          <w:lang w:val="en-US"/>
        </w:rPr>
      </w:pPr>
      <w:r>
        <w:rPr>
          <w:rFonts w:hint="eastAsia" w:ascii="仿宋" w:hAnsi="仿宋" w:eastAsia="仿宋"/>
          <w:color w:val="000000"/>
          <w:sz w:val="32"/>
          <w:szCs w:val="24"/>
          <w:highlight w:val="none"/>
          <w:lang w:val="en-US"/>
        </w:rPr>
        <w:t>从预算</w:t>
      </w:r>
      <w:r>
        <w:rPr>
          <w:rFonts w:hint="eastAsia" w:ascii="仿宋" w:hAnsi="仿宋" w:eastAsia="仿宋"/>
          <w:color w:val="000000"/>
          <w:sz w:val="32"/>
          <w:szCs w:val="24"/>
          <w:highlight w:val="none"/>
          <w:lang w:val="en-US" w:eastAsia="zh-CN"/>
        </w:rPr>
        <w:t>单位</w:t>
      </w:r>
      <w:r>
        <w:rPr>
          <w:rFonts w:hint="eastAsia" w:ascii="仿宋" w:hAnsi="仿宋" w:eastAsia="仿宋"/>
          <w:color w:val="000000"/>
          <w:sz w:val="32"/>
          <w:szCs w:val="24"/>
          <w:highlight w:val="none"/>
          <w:lang w:val="en-US"/>
        </w:rPr>
        <w:t>构成看，</w:t>
      </w:r>
      <w:r>
        <w:rPr>
          <w:rFonts w:hint="eastAsia" w:ascii="仿宋" w:hAnsi="仿宋" w:eastAsia="仿宋"/>
          <w:color w:val="000000"/>
          <w:sz w:val="32"/>
          <w:szCs w:val="24"/>
          <w:highlight w:val="none"/>
          <w:lang w:val="en-US" w:eastAsia="zh-CN"/>
        </w:rPr>
        <w:t>庆元县人民检察院（汇总）部门决算包括</w:t>
      </w:r>
      <w:r>
        <w:rPr>
          <w:rFonts w:hint="eastAsia" w:ascii="仿宋" w:hAnsi="仿宋" w:eastAsia="仿宋"/>
          <w:color w:val="000000"/>
          <w:sz w:val="32"/>
          <w:szCs w:val="24"/>
          <w:highlight w:val="none"/>
          <w:lang w:val="en-US"/>
        </w:rPr>
        <w:t>：</w:t>
      </w:r>
      <w:r>
        <w:rPr>
          <w:rFonts w:hint="eastAsia" w:ascii="仿宋" w:hAnsi="仿宋" w:eastAsia="仿宋" w:cs="仿宋"/>
          <w:kern w:val="0"/>
          <w:sz w:val="32"/>
          <w:szCs w:val="32"/>
          <w:highlight w:val="none"/>
          <w:lang w:val="en-US" w:eastAsia="zh-CN"/>
        </w:rPr>
        <w:t>庆元县人民检察院本级预算，无下属单位。从预算部门构成看，本部门内设：有5个部，1个中心。包括:第一检察部（侦查监督科、公诉科）、第二检察部（民事行政检察科）、第三检察部（控告申诉检察科、检察技术科、监所检察科、法律政策研究室、驻屏都检察室）、政治部（政治处）、综合部（办公室、法警大队）和机关后勤服务中心，其中“机关后勤服务中心”这一内设机构系2014年度经批准增加。</w:t>
      </w:r>
    </w:p>
    <w:p>
      <w:pPr>
        <w:spacing w:beforeLines="0" w:afterLines="0" w:line="600" w:lineRule="exact"/>
        <w:ind w:firstLine="640"/>
        <w:rPr>
          <w:rFonts w:hint="eastAsia" w:ascii="仿宋" w:hAnsi="仿宋" w:eastAsia="仿宋"/>
          <w:color w:val="000000"/>
          <w:sz w:val="32"/>
          <w:szCs w:val="24"/>
          <w:highlight w:val="none"/>
          <w:lang w:val="en-US"/>
        </w:rPr>
      </w:pPr>
      <w:r>
        <w:rPr>
          <w:rFonts w:hint="eastAsia" w:ascii="仿宋" w:hAnsi="仿宋" w:eastAsia="仿宋"/>
          <w:color w:val="000000"/>
          <w:sz w:val="32"/>
          <w:szCs w:val="24"/>
          <w:highlight w:val="none"/>
          <w:lang w:val="en-US" w:eastAsia="zh-CN"/>
        </w:rPr>
        <w:t>纳入庆元县人民检察院（汇总）2023年度部门决算编制范围的二级预算单位包括：</w:t>
      </w:r>
      <w:r>
        <w:rPr>
          <w:rFonts w:hint="eastAsia" w:ascii="仿宋" w:hAnsi="仿宋" w:eastAsia="仿宋" w:cs="仿宋"/>
          <w:kern w:val="0"/>
          <w:sz w:val="32"/>
          <w:szCs w:val="32"/>
          <w:highlight w:val="none"/>
          <w:lang w:val="en-US" w:eastAsia="zh-CN"/>
        </w:rPr>
        <w:t>无。</w:t>
      </w:r>
    </w:p>
    <w:p>
      <w:pPr>
        <w:spacing w:beforeLines="0" w:afterLines="0" w:line="600" w:lineRule="exact"/>
        <w:ind w:firstLine="640"/>
        <w:rPr>
          <w:rFonts w:hint="eastAsia" w:ascii="仿宋" w:hAnsi="仿宋" w:eastAsia="仿宋"/>
          <w:color w:val="000000"/>
          <w:sz w:val="32"/>
          <w:szCs w:val="24"/>
          <w:highlight w:val="none"/>
          <w:lang w:val="en-US" w:eastAsia="zh-CN"/>
        </w:rPr>
      </w:pPr>
    </w:p>
    <w:p>
      <w:pPr>
        <w:spacing w:beforeLines="0" w:afterLines="0" w:line="600" w:lineRule="exact"/>
        <w:rPr>
          <w:rFonts w:hint="eastAsia" w:ascii="仿宋" w:hAnsi="仿宋" w:eastAsia="仿宋"/>
          <w:color w:val="000000"/>
          <w:sz w:val="32"/>
          <w:szCs w:val="24"/>
          <w:highlight w:val="none"/>
          <w:lang w:val="en-US" w:eastAsia="zh-CN"/>
        </w:rPr>
      </w:pPr>
    </w:p>
    <w:p>
      <w:pPr>
        <w:spacing w:beforeLines="0" w:afterLines="0" w:line="600" w:lineRule="exact"/>
        <w:rPr>
          <w:rFonts w:hint="default" w:ascii="仿宋" w:hAnsi="仿宋" w:eastAsia="仿宋"/>
          <w:color w:val="000000"/>
          <w:sz w:val="32"/>
          <w:szCs w:val="24"/>
          <w:highlight w:val="none"/>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textAlignment w:val="auto"/>
        <w:rPr>
          <w:rFonts w:hint="eastAsia" w:ascii="黑体" w:hAnsi="黑体" w:eastAsia="黑体"/>
          <w:b w:val="0"/>
          <w:bCs/>
          <w:color w:val="000000"/>
          <w:sz w:val="32"/>
          <w:szCs w:val="24"/>
          <w:highlight w:val="none"/>
          <w:lang w:val="en-US"/>
        </w:rPr>
      </w:pPr>
      <w:bookmarkStart w:id="7" w:name="_Toc_1_2_0000000035"/>
      <w:bookmarkStart w:id="8" w:name="_Toc19701"/>
      <w:r>
        <w:rPr>
          <w:rFonts w:hint="eastAsia" w:ascii="黑体" w:hAnsi="黑体" w:eastAsia="黑体"/>
          <w:b w:val="0"/>
          <w:bCs/>
          <w:color w:val="000000"/>
          <w:sz w:val="32"/>
          <w:szCs w:val="24"/>
          <w:highlight w:val="none"/>
          <w:lang w:val="en-US" w:eastAsia="zh-CN"/>
        </w:rPr>
        <w:t>二、2023年度部门决算公开表</w:t>
      </w:r>
      <w:bookmarkEnd w:id="7"/>
      <w:bookmarkEnd w:id="8"/>
    </w:p>
    <w:p>
      <w:pPr>
        <w:pStyle w:val="3"/>
        <w:bidi w:val="0"/>
        <w:jc w:val="center"/>
        <w:outlineLvl w:val="1"/>
        <w:rPr>
          <w:rFonts w:hint="eastAsia" w:ascii="楷体" w:hAnsi="楷体" w:eastAsia="楷体" w:cs="楷体"/>
          <w:b w:val="0"/>
          <w:bCs/>
          <w:lang w:val="en-US" w:eastAsia="zh-CN"/>
        </w:rPr>
      </w:pPr>
      <w:bookmarkStart w:id="9" w:name="_Toc_1_2_0000000036"/>
      <w:r>
        <w:rPr>
          <w:rFonts w:hint="eastAsia" w:ascii="楷体" w:hAnsi="楷体" w:eastAsia="楷体" w:cs="楷体"/>
          <w:b w:val="0"/>
          <w:bCs/>
          <w:lang w:val="en-US" w:eastAsia="zh-CN"/>
        </w:rPr>
        <w:t>2023年度收入支出决算总表</w:t>
      </w:r>
      <w:bookmarkEnd w:id="9"/>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部门：庆元县人民检察院（汇总）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6980" w:type="dxa"/>
            <w:gridSpan w:val="3"/>
            <w:vAlign w:val="center"/>
          </w:tcPr>
          <w:p>
            <w:pPr>
              <w:jc w:val="center"/>
            </w:pPr>
            <w:r>
              <w:rPr>
                <w:rFonts w:ascii="宋体" w:hAnsi="宋体" w:eastAsia="宋体" w:cs="宋体"/>
                <w:b w:val="0"/>
                <w:i w:val="0"/>
                <w:color w:val="000000"/>
                <w:sz w:val="21"/>
              </w:rPr>
              <w:t>收     入</w:t>
            </w:r>
          </w:p>
        </w:tc>
        <w:tc>
          <w:tcPr>
            <w:tcW w:w="6978" w:type="dxa"/>
            <w:gridSpan w:val="3"/>
            <w:vAlign w:val="center"/>
          </w:tcPr>
          <w:p>
            <w:pPr>
              <w:jc w:val="center"/>
            </w:pPr>
            <w:r>
              <w:rPr>
                <w:rFonts w:ascii="宋体" w:hAnsi="宋体" w:eastAsia="宋体" w:cs="宋体"/>
                <w:b w:val="0"/>
                <w:i w:val="0"/>
                <w:color w:val="000000"/>
                <w:sz w:val="21"/>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pPr>
              <w:jc w:val="center"/>
            </w:pPr>
            <w:r>
              <w:rPr>
                <w:rFonts w:ascii="宋体" w:hAnsi="宋体" w:eastAsia="宋体" w:cs="宋体"/>
                <w:b w:val="0"/>
                <w:i w:val="0"/>
                <w:color w:val="000000"/>
                <w:sz w:val="21"/>
              </w:rPr>
              <w:t>项   目</w:t>
            </w:r>
          </w:p>
        </w:tc>
        <w:tc>
          <w:tcPr>
            <w:tcW w:w="560" w:type="dxa"/>
            <w:vAlign w:val="center"/>
          </w:tcPr>
          <w:p>
            <w:pPr>
              <w:jc w:val="center"/>
            </w:pPr>
            <w:r>
              <w:rPr>
                <w:rFonts w:ascii="宋体" w:hAnsi="宋体" w:eastAsia="宋体" w:cs="宋体"/>
                <w:b w:val="0"/>
                <w:i w:val="0"/>
                <w:color w:val="000000"/>
                <w:sz w:val="21"/>
              </w:rPr>
              <w:t>行次</w:t>
            </w:r>
          </w:p>
        </w:tc>
        <w:tc>
          <w:tcPr>
            <w:tcW w:w="2240" w:type="dxa"/>
            <w:vAlign w:val="center"/>
          </w:tcPr>
          <w:p>
            <w:pPr>
              <w:jc w:val="center"/>
            </w:pPr>
            <w:r>
              <w:rPr>
                <w:rFonts w:ascii="宋体" w:hAnsi="宋体" w:eastAsia="宋体" w:cs="宋体"/>
                <w:b w:val="0"/>
                <w:i w:val="0"/>
                <w:color w:val="000000"/>
                <w:sz w:val="21"/>
              </w:rPr>
              <w:t>金额</w:t>
            </w:r>
          </w:p>
        </w:tc>
        <w:tc>
          <w:tcPr>
            <w:tcW w:w="4180" w:type="dxa"/>
            <w:vAlign w:val="center"/>
          </w:tcPr>
          <w:p>
            <w:pPr>
              <w:jc w:val="center"/>
            </w:pPr>
            <w:r>
              <w:rPr>
                <w:rFonts w:ascii="宋体" w:hAnsi="宋体" w:eastAsia="宋体" w:cs="宋体"/>
                <w:b w:val="0"/>
                <w:i w:val="0"/>
                <w:color w:val="000000"/>
                <w:sz w:val="21"/>
              </w:rPr>
              <w:t>项   目</w:t>
            </w:r>
          </w:p>
        </w:tc>
        <w:tc>
          <w:tcPr>
            <w:tcW w:w="560" w:type="dxa"/>
            <w:vAlign w:val="center"/>
          </w:tcPr>
          <w:p>
            <w:pPr>
              <w:jc w:val="center"/>
            </w:pPr>
            <w:r>
              <w:rPr>
                <w:rFonts w:ascii="宋体" w:hAnsi="宋体" w:eastAsia="宋体" w:cs="宋体"/>
                <w:b w:val="0"/>
                <w:i w:val="0"/>
                <w:color w:val="000000"/>
                <w:sz w:val="21"/>
              </w:rPr>
              <w:t>行次</w:t>
            </w:r>
          </w:p>
        </w:tc>
        <w:tc>
          <w:tcPr>
            <w:tcW w:w="223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pPr>
              <w:jc w:val="center"/>
            </w:pPr>
            <w:r>
              <w:rPr>
                <w:rFonts w:ascii="宋体" w:hAnsi="宋体" w:eastAsia="宋体" w:cs="宋体"/>
                <w:b w:val="0"/>
                <w:i w:val="0"/>
                <w:color w:val="000000"/>
                <w:sz w:val="21"/>
              </w:rPr>
              <w:t>栏   次</w:t>
            </w:r>
          </w:p>
        </w:tc>
        <w:tc>
          <w:tcPr>
            <w:tcW w:w="560" w:type="dxa"/>
            <w:vAlign w:val="center"/>
          </w:tcPr>
          <w:p/>
        </w:tc>
        <w:tc>
          <w:tcPr>
            <w:tcW w:w="2240" w:type="dxa"/>
            <w:vAlign w:val="center"/>
          </w:tcPr>
          <w:p>
            <w:pPr>
              <w:jc w:val="center"/>
            </w:pPr>
            <w:r>
              <w:rPr>
                <w:rFonts w:ascii="宋体" w:hAnsi="宋体" w:eastAsia="宋体" w:cs="宋体"/>
                <w:b w:val="0"/>
                <w:i w:val="0"/>
                <w:color w:val="000000"/>
                <w:sz w:val="21"/>
              </w:rPr>
              <w:t>1</w:t>
            </w:r>
          </w:p>
        </w:tc>
        <w:tc>
          <w:tcPr>
            <w:tcW w:w="4180" w:type="dxa"/>
            <w:vAlign w:val="center"/>
          </w:tcPr>
          <w:p>
            <w:pPr>
              <w:jc w:val="center"/>
            </w:pPr>
            <w:r>
              <w:rPr>
                <w:rFonts w:ascii="宋体" w:hAnsi="宋体" w:eastAsia="宋体" w:cs="宋体"/>
                <w:b w:val="0"/>
                <w:i w:val="0"/>
                <w:color w:val="000000"/>
                <w:sz w:val="21"/>
              </w:rPr>
              <w:t>栏   次</w:t>
            </w:r>
          </w:p>
        </w:tc>
        <w:tc>
          <w:tcPr>
            <w:tcW w:w="560" w:type="dxa"/>
            <w:vAlign w:val="center"/>
          </w:tcPr>
          <w:p/>
        </w:tc>
        <w:tc>
          <w:tcPr>
            <w:tcW w:w="223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pPr>
              <w:jc w:val="left"/>
            </w:pPr>
            <w:r>
              <w:rPr>
                <w:rFonts w:ascii="宋体" w:hAnsi="宋体" w:eastAsia="宋体" w:cs="宋体"/>
                <w:b w:val="0"/>
                <w:i w:val="0"/>
                <w:color w:val="000000"/>
                <w:sz w:val="21"/>
              </w:rPr>
              <w:t>一、一般公共预算财政拨款收入</w:t>
            </w:r>
          </w:p>
        </w:tc>
        <w:tc>
          <w:tcPr>
            <w:tcW w:w="560" w:type="dxa"/>
            <w:vAlign w:val="center"/>
          </w:tcPr>
          <w:p>
            <w:pPr>
              <w:jc w:val="center"/>
            </w:pPr>
            <w:r>
              <w:rPr>
                <w:rFonts w:ascii="宋体" w:hAnsi="宋体" w:eastAsia="宋体" w:cs="宋体"/>
                <w:b w:val="0"/>
                <w:i w:val="0"/>
                <w:color w:val="000000"/>
                <w:sz w:val="21"/>
              </w:rPr>
              <w:t>1</w:t>
            </w:r>
          </w:p>
        </w:tc>
        <w:tc>
          <w:tcPr>
            <w:tcW w:w="2240" w:type="dxa"/>
            <w:vAlign w:val="center"/>
          </w:tcPr>
          <w:p>
            <w:pPr>
              <w:jc w:val="right"/>
            </w:pPr>
            <w:r>
              <w:rPr>
                <w:rFonts w:ascii="宋体" w:hAnsi="宋体" w:eastAsia="宋体" w:cs="宋体"/>
                <w:b w:val="0"/>
                <w:i w:val="0"/>
                <w:color w:val="000000"/>
                <w:sz w:val="21"/>
              </w:rPr>
              <w:t>2,273.44</w:t>
            </w:r>
          </w:p>
        </w:tc>
        <w:tc>
          <w:tcPr>
            <w:tcW w:w="4180" w:type="dxa"/>
            <w:vAlign w:val="center"/>
          </w:tcPr>
          <w:p>
            <w:pPr>
              <w:jc w:val="left"/>
            </w:pPr>
            <w:r>
              <w:rPr>
                <w:rFonts w:ascii="宋体" w:hAnsi="宋体" w:eastAsia="宋体" w:cs="宋体"/>
                <w:b w:val="0"/>
                <w:i w:val="0"/>
                <w:color w:val="000000"/>
                <w:sz w:val="21"/>
              </w:rPr>
              <w:t>一、一般公共服务支出</w:t>
            </w:r>
          </w:p>
        </w:tc>
        <w:tc>
          <w:tcPr>
            <w:tcW w:w="560" w:type="dxa"/>
            <w:vAlign w:val="center"/>
          </w:tcPr>
          <w:p>
            <w:pPr>
              <w:jc w:val="center"/>
            </w:pPr>
            <w:r>
              <w:rPr>
                <w:rFonts w:ascii="宋体" w:hAnsi="宋体" w:eastAsia="宋体" w:cs="宋体"/>
                <w:b w:val="0"/>
                <w:i w:val="0"/>
                <w:color w:val="000000"/>
                <w:sz w:val="21"/>
              </w:rPr>
              <w:t>32</w:t>
            </w:r>
          </w:p>
        </w:tc>
        <w:tc>
          <w:tcPr>
            <w:tcW w:w="2238" w:type="dxa"/>
            <w:vAlign w:val="center"/>
          </w:tcPr>
          <w:p>
            <w:pPr>
              <w:jc w:val="right"/>
            </w:pPr>
            <w:r>
              <w:rPr>
                <w:rFonts w:ascii="宋体" w:hAnsi="宋体" w:eastAsia="宋体" w:cs="宋体"/>
                <w:b w:val="0"/>
                <w:i w:val="0"/>
                <w:color w:val="000000"/>
                <w:sz w:val="21"/>
              </w:rPr>
              <w:t>26.46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pPr>
              <w:jc w:val="left"/>
            </w:pPr>
            <w:r>
              <w:rPr>
                <w:rFonts w:ascii="宋体" w:hAnsi="宋体" w:eastAsia="宋体" w:cs="宋体"/>
                <w:b w:val="0"/>
                <w:i w:val="0"/>
                <w:color w:val="000000"/>
                <w:sz w:val="21"/>
              </w:rPr>
              <w:t>二、政府性基金预算财政拨款收入</w:t>
            </w:r>
          </w:p>
        </w:tc>
        <w:tc>
          <w:tcPr>
            <w:tcW w:w="560" w:type="dxa"/>
            <w:vAlign w:val="center"/>
          </w:tcPr>
          <w:p>
            <w:pPr>
              <w:jc w:val="center"/>
            </w:pPr>
            <w:r>
              <w:rPr>
                <w:rFonts w:ascii="宋体" w:hAnsi="宋体" w:eastAsia="宋体" w:cs="宋体"/>
                <w:b w:val="0"/>
                <w:i w:val="0"/>
                <w:color w:val="000000"/>
                <w:sz w:val="21"/>
              </w:rPr>
              <w:t>2</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二、外交支出</w:t>
            </w:r>
          </w:p>
        </w:tc>
        <w:tc>
          <w:tcPr>
            <w:tcW w:w="560" w:type="dxa"/>
            <w:vAlign w:val="center"/>
          </w:tcPr>
          <w:p>
            <w:pPr>
              <w:jc w:val="center"/>
            </w:pPr>
            <w:r>
              <w:rPr>
                <w:rFonts w:ascii="宋体" w:hAnsi="宋体" w:eastAsia="宋体" w:cs="宋体"/>
                <w:b w:val="0"/>
                <w:i w:val="0"/>
                <w:color w:val="000000"/>
                <w:sz w:val="21"/>
              </w:rPr>
              <w:t>33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pPr>
              <w:jc w:val="left"/>
            </w:pPr>
            <w:r>
              <w:rPr>
                <w:rFonts w:ascii="宋体" w:hAnsi="宋体" w:eastAsia="宋体" w:cs="宋体"/>
                <w:b w:val="0"/>
                <w:i w:val="0"/>
                <w:color w:val="000000"/>
                <w:sz w:val="21"/>
              </w:rPr>
              <w:t>三、国有资本经营预算财政拨款收入</w:t>
            </w:r>
          </w:p>
        </w:tc>
        <w:tc>
          <w:tcPr>
            <w:tcW w:w="560" w:type="dxa"/>
            <w:vAlign w:val="center"/>
          </w:tcPr>
          <w:p>
            <w:pPr>
              <w:jc w:val="center"/>
            </w:pPr>
            <w:r>
              <w:rPr>
                <w:rFonts w:ascii="宋体" w:hAnsi="宋体" w:eastAsia="宋体" w:cs="宋体"/>
                <w:b w:val="0"/>
                <w:i w:val="0"/>
                <w:color w:val="000000"/>
                <w:sz w:val="21"/>
              </w:rPr>
              <w:t>3</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三、国防支出</w:t>
            </w:r>
          </w:p>
        </w:tc>
        <w:tc>
          <w:tcPr>
            <w:tcW w:w="560" w:type="dxa"/>
            <w:vAlign w:val="center"/>
          </w:tcPr>
          <w:p>
            <w:pPr>
              <w:jc w:val="center"/>
            </w:pPr>
            <w:r>
              <w:rPr>
                <w:rFonts w:ascii="宋体" w:hAnsi="宋体" w:eastAsia="宋体" w:cs="宋体"/>
                <w:b w:val="0"/>
                <w:i w:val="0"/>
                <w:color w:val="000000"/>
                <w:sz w:val="21"/>
              </w:rPr>
              <w:t>34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pPr>
              <w:jc w:val="left"/>
            </w:pPr>
            <w:r>
              <w:rPr>
                <w:rFonts w:ascii="宋体" w:hAnsi="宋体" w:eastAsia="宋体" w:cs="宋体"/>
                <w:b w:val="0"/>
                <w:i w:val="0"/>
                <w:color w:val="000000"/>
                <w:sz w:val="21"/>
              </w:rPr>
              <w:t>四、上级补助收入</w:t>
            </w:r>
          </w:p>
        </w:tc>
        <w:tc>
          <w:tcPr>
            <w:tcW w:w="560" w:type="dxa"/>
            <w:vAlign w:val="center"/>
          </w:tcPr>
          <w:p>
            <w:pPr>
              <w:jc w:val="center"/>
            </w:pPr>
            <w:r>
              <w:rPr>
                <w:rFonts w:ascii="宋体" w:hAnsi="宋体" w:eastAsia="宋体" w:cs="宋体"/>
                <w:b w:val="0"/>
                <w:i w:val="0"/>
                <w:color w:val="000000"/>
                <w:sz w:val="21"/>
              </w:rPr>
              <w:t>4</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四、公共安全支出</w:t>
            </w:r>
          </w:p>
        </w:tc>
        <w:tc>
          <w:tcPr>
            <w:tcW w:w="560" w:type="dxa"/>
            <w:vAlign w:val="center"/>
          </w:tcPr>
          <w:p>
            <w:pPr>
              <w:jc w:val="center"/>
            </w:pPr>
            <w:r>
              <w:rPr>
                <w:rFonts w:ascii="宋体" w:hAnsi="宋体" w:eastAsia="宋体" w:cs="宋体"/>
                <w:b w:val="0"/>
                <w:i w:val="0"/>
                <w:color w:val="000000"/>
                <w:sz w:val="21"/>
              </w:rPr>
              <w:t>35</w:t>
            </w:r>
          </w:p>
        </w:tc>
        <w:tc>
          <w:tcPr>
            <w:tcW w:w="2238" w:type="dxa"/>
            <w:vAlign w:val="center"/>
          </w:tcPr>
          <w:p>
            <w:pPr>
              <w:jc w:val="right"/>
            </w:pPr>
            <w:r>
              <w:rPr>
                <w:rFonts w:ascii="宋体" w:hAnsi="宋体" w:eastAsia="宋体" w:cs="宋体"/>
                <w:b w:val="0"/>
                <w:i w:val="0"/>
                <w:color w:val="000000"/>
                <w:sz w:val="21"/>
              </w:rPr>
              <w:t>2,143.84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pPr>
              <w:jc w:val="left"/>
            </w:pPr>
            <w:r>
              <w:rPr>
                <w:rFonts w:ascii="宋体" w:hAnsi="宋体" w:eastAsia="宋体" w:cs="宋体"/>
                <w:b w:val="0"/>
                <w:i w:val="0"/>
                <w:color w:val="000000"/>
                <w:sz w:val="21"/>
              </w:rPr>
              <w:t>五、事业收入</w:t>
            </w:r>
          </w:p>
        </w:tc>
        <w:tc>
          <w:tcPr>
            <w:tcW w:w="560" w:type="dxa"/>
            <w:vAlign w:val="center"/>
          </w:tcPr>
          <w:p>
            <w:pPr>
              <w:jc w:val="center"/>
            </w:pPr>
            <w:r>
              <w:rPr>
                <w:rFonts w:ascii="宋体" w:hAnsi="宋体" w:eastAsia="宋体" w:cs="宋体"/>
                <w:b w:val="0"/>
                <w:i w:val="0"/>
                <w:color w:val="000000"/>
                <w:sz w:val="21"/>
              </w:rPr>
              <w:t>5</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五、教育支出</w:t>
            </w:r>
          </w:p>
        </w:tc>
        <w:tc>
          <w:tcPr>
            <w:tcW w:w="560" w:type="dxa"/>
            <w:vAlign w:val="center"/>
          </w:tcPr>
          <w:p>
            <w:pPr>
              <w:jc w:val="center"/>
            </w:pPr>
            <w:r>
              <w:rPr>
                <w:rFonts w:ascii="宋体" w:hAnsi="宋体" w:eastAsia="宋体" w:cs="宋体"/>
                <w:b w:val="0"/>
                <w:i w:val="0"/>
                <w:color w:val="000000"/>
                <w:sz w:val="21"/>
              </w:rPr>
              <w:t>36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pPr>
              <w:jc w:val="left"/>
            </w:pPr>
            <w:r>
              <w:rPr>
                <w:rFonts w:ascii="宋体" w:hAnsi="宋体" w:eastAsia="宋体" w:cs="宋体"/>
                <w:b w:val="0"/>
                <w:i w:val="0"/>
                <w:color w:val="000000"/>
                <w:sz w:val="21"/>
              </w:rPr>
              <w:t>六、经营收入</w:t>
            </w:r>
          </w:p>
        </w:tc>
        <w:tc>
          <w:tcPr>
            <w:tcW w:w="560" w:type="dxa"/>
            <w:vAlign w:val="center"/>
          </w:tcPr>
          <w:p>
            <w:pPr>
              <w:jc w:val="center"/>
            </w:pPr>
            <w:r>
              <w:rPr>
                <w:rFonts w:ascii="宋体" w:hAnsi="宋体" w:eastAsia="宋体" w:cs="宋体"/>
                <w:b w:val="0"/>
                <w:i w:val="0"/>
                <w:color w:val="000000"/>
                <w:sz w:val="21"/>
              </w:rPr>
              <w:t>6</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六、科学技术支出</w:t>
            </w:r>
          </w:p>
        </w:tc>
        <w:tc>
          <w:tcPr>
            <w:tcW w:w="560" w:type="dxa"/>
            <w:vAlign w:val="center"/>
          </w:tcPr>
          <w:p>
            <w:pPr>
              <w:jc w:val="center"/>
            </w:pPr>
            <w:r>
              <w:rPr>
                <w:rFonts w:ascii="宋体" w:hAnsi="宋体" w:eastAsia="宋体" w:cs="宋体"/>
                <w:b w:val="0"/>
                <w:i w:val="0"/>
                <w:color w:val="000000"/>
                <w:sz w:val="21"/>
              </w:rPr>
              <w:t>37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pPr>
              <w:jc w:val="left"/>
            </w:pPr>
            <w:r>
              <w:rPr>
                <w:rFonts w:ascii="宋体" w:hAnsi="宋体" w:eastAsia="宋体" w:cs="宋体"/>
                <w:b w:val="0"/>
                <w:i w:val="0"/>
                <w:color w:val="000000"/>
                <w:sz w:val="21"/>
              </w:rPr>
              <w:t>七、附属单位上缴收入</w:t>
            </w:r>
          </w:p>
        </w:tc>
        <w:tc>
          <w:tcPr>
            <w:tcW w:w="560" w:type="dxa"/>
            <w:vAlign w:val="center"/>
          </w:tcPr>
          <w:p>
            <w:pPr>
              <w:jc w:val="center"/>
            </w:pPr>
            <w:r>
              <w:rPr>
                <w:rFonts w:ascii="宋体" w:hAnsi="宋体" w:eastAsia="宋体" w:cs="宋体"/>
                <w:b w:val="0"/>
                <w:i w:val="0"/>
                <w:color w:val="000000"/>
                <w:sz w:val="21"/>
              </w:rPr>
              <w:t>7</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七、文化旅游体育与传媒支出</w:t>
            </w:r>
          </w:p>
        </w:tc>
        <w:tc>
          <w:tcPr>
            <w:tcW w:w="560" w:type="dxa"/>
            <w:vAlign w:val="center"/>
          </w:tcPr>
          <w:p>
            <w:pPr>
              <w:jc w:val="center"/>
            </w:pPr>
            <w:r>
              <w:rPr>
                <w:rFonts w:ascii="宋体" w:hAnsi="宋体" w:eastAsia="宋体" w:cs="宋体"/>
                <w:b w:val="0"/>
                <w:i w:val="0"/>
                <w:color w:val="000000"/>
                <w:sz w:val="21"/>
              </w:rPr>
              <w:t>38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pPr>
              <w:jc w:val="left"/>
            </w:pPr>
            <w:r>
              <w:rPr>
                <w:rFonts w:ascii="宋体" w:hAnsi="宋体" w:eastAsia="宋体" w:cs="宋体"/>
                <w:b w:val="0"/>
                <w:i w:val="0"/>
                <w:color w:val="000000"/>
                <w:sz w:val="21"/>
              </w:rPr>
              <w:t>八、其他收入</w:t>
            </w:r>
          </w:p>
        </w:tc>
        <w:tc>
          <w:tcPr>
            <w:tcW w:w="560" w:type="dxa"/>
            <w:vAlign w:val="center"/>
          </w:tcPr>
          <w:p>
            <w:pPr>
              <w:jc w:val="center"/>
            </w:pPr>
            <w:r>
              <w:rPr>
                <w:rFonts w:ascii="宋体" w:hAnsi="宋体" w:eastAsia="宋体" w:cs="宋体"/>
                <w:b w:val="0"/>
                <w:i w:val="0"/>
                <w:color w:val="000000"/>
                <w:sz w:val="21"/>
              </w:rPr>
              <w:t>8</w:t>
            </w:r>
          </w:p>
        </w:tc>
        <w:tc>
          <w:tcPr>
            <w:tcW w:w="2240" w:type="dxa"/>
            <w:vAlign w:val="center"/>
          </w:tcPr>
          <w:p>
            <w:pPr>
              <w:jc w:val="right"/>
            </w:pPr>
            <w:r>
              <w:rPr>
                <w:rFonts w:ascii="宋体" w:hAnsi="宋体" w:eastAsia="宋体" w:cs="宋体"/>
                <w:b w:val="0"/>
                <w:i w:val="0"/>
                <w:color w:val="000000"/>
                <w:sz w:val="21"/>
              </w:rPr>
              <w:t>5.68</w:t>
            </w:r>
          </w:p>
        </w:tc>
        <w:tc>
          <w:tcPr>
            <w:tcW w:w="4180" w:type="dxa"/>
            <w:vAlign w:val="center"/>
          </w:tcPr>
          <w:p>
            <w:pPr>
              <w:jc w:val="left"/>
            </w:pPr>
            <w:r>
              <w:rPr>
                <w:rFonts w:ascii="宋体" w:hAnsi="宋体" w:eastAsia="宋体" w:cs="宋体"/>
                <w:b w:val="0"/>
                <w:i w:val="0"/>
                <w:color w:val="000000"/>
                <w:sz w:val="21"/>
              </w:rPr>
              <w:t>八、社会保障和就业支出</w:t>
            </w:r>
          </w:p>
        </w:tc>
        <w:tc>
          <w:tcPr>
            <w:tcW w:w="560" w:type="dxa"/>
            <w:vAlign w:val="center"/>
          </w:tcPr>
          <w:p>
            <w:pPr>
              <w:jc w:val="center"/>
            </w:pPr>
            <w:r>
              <w:rPr>
                <w:rFonts w:ascii="宋体" w:hAnsi="宋体" w:eastAsia="宋体" w:cs="宋体"/>
                <w:b w:val="0"/>
                <w:i w:val="0"/>
                <w:color w:val="000000"/>
                <w:sz w:val="21"/>
              </w:rPr>
              <w:t>39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九、卫生健康支出</w:t>
            </w:r>
          </w:p>
        </w:tc>
        <w:tc>
          <w:tcPr>
            <w:tcW w:w="560" w:type="dxa"/>
            <w:vAlign w:val="center"/>
          </w:tcPr>
          <w:p>
            <w:pPr>
              <w:jc w:val="center"/>
            </w:pPr>
            <w:r>
              <w:rPr>
                <w:rFonts w:ascii="宋体" w:hAnsi="宋体" w:eastAsia="宋体" w:cs="宋体"/>
                <w:b w:val="0"/>
                <w:i w:val="0"/>
                <w:color w:val="000000"/>
                <w:sz w:val="21"/>
              </w:rPr>
              <w:t>40</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十、节能环保支出</w:t>
            </w:r>
          </w:p>
        </w:tc>
        <w:tc>
          <w:tcPr>
            <w:tcW w:w="560" w:type="dxa"/>
            <w:vAlign w:val="center"/>
          </w:tcPr>
          <w:p>
            <w:pPr>
              <w:jc w:val="center"/>
            </w:pPr>
            <w:r>
              <w:rPr>
                <w:rFonts w:ascii="宋体" w:hAnsi="宋体" w:eastAsia="宋体" w:cs="宋体"/>
                <w:b w:val="0"/>
                <w:i w:val="0"/>
                <w:color w:val="000000"/>
                <w:sz w:val="21"/>
              </w:rPr>
              <w:t>41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十一、城乡社区支出</w:t>
            </w:r>
          </w:p>
        </w:tc>
        <w:tc>
          <w:tcPr>
            <w:tcW w:w="560" w:type="dxa"/>
            <w:vAlign w:val="center"/>
          </w:tcPr>
          <w:p>
            <w:pPr>
              <w:jc w:val="center"/>
            </w:pPr>
            <w:r>
              <w:rPr>
                <w:rFonts w:ascii="宋体" w:hAnsi="宋体" w:eastAsia="宋体" w:cs="宋体"/>
                <w:b w:val="0"/>
                <w:i w:val="0"/>
                <w:color w:val="000000"/>
                <w:sz w:val="21"/>
              </w:rPr>
              <w:t>42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十二、农林水支出</w:t>
            </w:r>
          </w:p>
        </w:tc>
        <w:tc>
          <w:tcPr>
            <w:tcW w:w="560" w:type="dxa"/>
            <w:vAlign w:val="center"/>
          </w:tcPr>
          <w:p>
            <w:pPr>
              <w:jc w:val="center"/>
            </w:pPr>
            <w:r>
              <w:rPr>
                <w:rFonts w:ascii="宋体" w:hAnsi="宋体" w:eastAsia="宋体" w:cs="宋体"/>
                <w:b w:val="0"/>
                <w:i w:val="0"/>
                <w:color w:val="000000"/>
                <w:sz w:val="21"/>
              </w:rPr>
              <w:t>43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十三、交通运输支出</w:t>
            </w:r>
          </w:p>
        </w:tc>
        <w:tc>
          <w:tcPr>
            <w:tcW w:w="560" w:type="dxa"/>
            <w:vAlign w:val="center"/>
          </w:tcPr>
          <w:p>
            <w:pPr>
              <w:jc w:val="center"/>
            </w:pPr>
            <w:r>
              <w:rPr>
                <w:rFonts w:ascii="宋体" w:hAnsi="宋体" w:eastAsia="宋体" w:cs="宋体"/>
                <w:b w:val="0"/>
                <w:i w:val="0"/>
                <w:color w:val="000000"/>
                <w:sz w:val="21"/>
              </w:rPr>
              <w:t>44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十四、资源勘探工业信息等支出</w:t>
            </w:r>
          </w:p>
        </w:tc>
        <w:tc>
          <w:tcPr>
            <w:tcW w:w="560" w:type="dxa"/>
            <w:vAlign w:val="center"/>
          </w:tcPr>
          <w:p>
            <w:pPr>
              <w:jc w:val="center"/>
            </w:pPr>
            <w:r>
              <w:rPr>
                <w:rFonts w:ascii="宋体" w:hAnsi="宋体" w:eastAsia="宋体" w:cs="宋体"/>
                <w:b w:val="0"/>
                <w:i w:val="0"/>
                <w:color w:val="000000"/>
                <w:sz w:val="21"/>
              </w:rPr>
              <w:t>45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十五、商业服务业等支出</w:t>
            </w:r>
          </w:p>
        </w:tc>
        <w:tc>
          <w:tcPr>
            <w:tcW w:w="560" w:type="dxa"/>
            <w:vAlign w:val="center"/>
          </w:tcPr>
          <w:p>
            <w:pPr>
              <w:jc w:val="center"/>
            </w:pPr>
            <w:r>
              <w:rPr>
                <w:rFonts w:ascii="宋体" w:hAnsi="宋体" w:eastAsia="宋体" w:cs="宋体"/>
                <w:b w:val="0"/>
                <w:i w:val="0"/>
                <w:color w:val="000000"/>
                <w:sz w:val="21"/>
              </w:rPr>
              <w:t>46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十六、金融支出</w:t>
            </w:r>
          </w:p>
        </w:tc>
        <w:tc>
          <w:tcPr>
            <w:tcW w:w="560" w:type="dxa"/>
            <w:vAlign w:val="center"/>
          </w:tcPr>
          <w:p>
            <w:pPr>
              <w:jc w:val="center"/>
            </w:pPr>
            <w:r>
              <w:rPr>
                <w:rFonts w:ascii="宋体" w:hAnsi="宋体" w:eastAsia="宋体" w:cs="宋体"/>
                <w:b w:val="0"/>
                <w:i w:val="0"/>
                <w:color w:val="000000"/>
                <w:sz w:val="21"/>
              </w:rPr>
              <w:t>47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17</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十七、援助其他地区支出</w:t>
            </w:r>
          </w:p>
        </w:tc>
        <w:tc>
          <w:tcPr>
            <w:tcW w:w="560" w:type="dxa"/>
            <w:vAlign w:val="center"/>
          </w:tcPr>
          <w:p>
            <w:pPr>
              <w:jc w:val="center"/>
            </w:pPr>
            <w:r>
              <w:rPr>
                <w:rFonts w:ascii="宋体" w:hAnsi="宋体" w:eastAsia="宋体" w:cs="宋体"/>
                <w:b w:val="0"/>
                <w:i w:val="0"/>
                <w:color w:val="000000"/>
                <w:sz w:val="21"/>
              </w:rPr>
              <w:t>48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18</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十八、自然资源海洋气象等支出</w:t>
            </w:r>
          </w:p>
        </w:tc>
        <w:tc>
          <w:tcPr>
            <w:tcW w:w="560" w:type="dxa"/>
            <w:vAlign w:val="center"/>
          </w:tcPr>
          <w:p>
            <w:pPr>
              <w:jc w:val="center"/>
            </w:pPr>
            <w:r>
              <w:rPr>
                <w:rFonts w:ascii="宋体" w:hAnsi="宋体" w:eastAsia="宋体" w:cs="宋体"/>
                <w:b w:val="0"/>
                <w:i w:val="0"/>
                <w:color w:val="000000"/>
                <w:sz w:val="21"/>
              </w:rPr>
              <w:t>49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十九、住房保障支出</w:t>
            </w:r>
          </w:p>
        </w:tc>
        <w:tc>
          <w:tcPr>
            <w:tcW w:w="560" w:type="dxa"/>
            <w:vAlign w:val="center"/>
          </w:tcPr>
          <w:p>
            <w:pPr>
              <w:jc w:val="center"/>
            </w:pPr>
            <w:r>
              <w:rPr>
                <w:rFonts w:ascii="宋体" w:hAnsi="宋体" w:eastAsia="宋体" w:cs="宋体"/>
                <w:b w:val="0"/>
                <w:i w:val="0"/>
                <w:color w:val="000000"/>
                <w:sz w:val="21"/>
              </w:rPr>
              <w:t>50</w:t>
            </w:r>
          </w:p>
        </w:tc>
        <w:tc>
          <w:tcPr>
            <w:tcW w:w="2238" w:type="dxa"/>
            <w:vAlign w:val="center"/>
          </w:tcPr>
          <w:p>
            <w:pPr>
              <w:jc w:val="right"/>
            </w:pPr>
            <w:r>
              <w:rPr>
                <w:rFonts w:ascii="宋体" w:hAnsi="宋体" w:eastAsia="宋体" w:cs="宋体"/>
                <w:b w:val="0"/>
                <w:i w:val="0"/>
                <w:color w:val="000000"/>
                <w:sz w:val="21"/>
              </w:rPr>
              <w:t>107.89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二十、粮油物资储备支出</w:t>
            </w:r>
          </w:p>
        </w:tc>
        <w:tc>
          <w:tcPr>
            <w:tcW w:w="560" w:type="dxa"/>
            <w:vAlign w:val="center"/>
          </w:tcPr>
          <w:p>
            <w:pPr>
              <w:jc w:val="center"/>
            </w:pPr>
            <w:r>
              <w:rPr>
                <w:rFonts w:ascii="宋体" w:hAnsi="宋体" w:eastAsia="宋体" w:cs="宋体"/>
                <w:b w:val="0"/>
                <w:i w:val="0"/>
                <w:color w:val="000000"/>
                <w:sz w:val="21"/>
              </w:rPr>
              <w:t>51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二十一、国有资本经营预算支出</w:t>
            </w:r>
          </w:p>
        </w:tc>
        <w:tc>
          <w:tcPr>
            <w:tcW w:w="560" w:type="dxa"/>
            <w:vAlign w:val="center"/>
          </w:tcPr>
          <w:p>
            <w:pPr>
              <w:jc w:val="center"/>
            </w:pPr>
            <w:r>
              <w:rPr>
                <w:rFonts w:ascii="宋体" w:hAnsi="宋体" w:eastAsia="宋体" w:cs="宋体"/>
                <w:b w:val="0"/>
                <w:i w:val="0"/>
                <w:color w:val="000000"/>
                <w:sz w:val="21"/>
              </w:rPr>
              <w:t>52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二十二、灾害防治及应急管理支出</w:t>
            </w:r>
          </w:p>
        </w:tc>
        <w:tc>
          <w:tcPr>
            <w:tcW w:w="560" w:type="dxa"/>
            <w:vAlign w:val="center"/>
          </w:tcPr>
          <w:p>
            <w:pPr>
              <w:jc w:val="center"/>
            </w:pPr>
            <w:r>
              <w:rPr>
                <w:rFonts w:ascii="宋体" w:hAnsi="宋体" w:eastAsia="宋体" w:cs="宋体"/>
                <w:b w:val="0"/>
                <w:i w:val="0"/>
                <w:color w:val="000000"/>
                <w:sz w:val="21"/>
              </w:rPr>
              <w:t>53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二十三、其他支出</w:t>
            </w:r>
          </w:p>
        </w:tc>
        <w:tc>
          <w:tcPr>
            <w:tcW w:w="560" w:type="dxa"/>
            <w:vAlign w:val="center"/>
          </w:tcPr>
          <w:p>
            <w:pPr>
              <w:jc w:val="center"/>
            </w:pPr>
            <w:r>
              <w:rPr>
                <w:rFonts w:ascii="宋体" w:hAnsi="宋体" w:eastAsia="宋体" w:cs="宋体"/>
                <w:b w:val="0"/>
                <w:i w:val="0"/>
                <w:color w:val="000000"/>
                <w:sz w:val="21"/>
              </w:rPr>
              <w:t>54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二十四、债务还本支出</w:t>
            </w:r>
          </w:p>
        </w:tc>
        <w:tc>
          <w:tcPr>
            <w:tcW w:w="560" w:type="dxa"/>
            <w:vAlign w:val="center"/>
          </w:tcPr>
          <w:p>
            <w:pPr>
              <w:jc w:val="center"/>
            </w:pPr>
            <w:r>
              <w:rPr>
                <w:rFonts w:ascii="宋体" w:hAnsi="宋体" w:eastAsia="宋体" w:cs="宋体"/>
                <w:b w:val="0"/>
                <w:i w:val="0"/>
                <w:color w:val="000000"/>
                <w:sz w:val="21"/>
              </w:rPr>
              <w:t>55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二十五、债务付息支出</w:t>
            </w:r>
          </w:p>
        </w:tc>
        <w:tc>
          <w:tcPr>
            <w:tcW w:w="560" w:type="dxa"/>
            <w:vAlign w:val="center"/>
          </w:tcPr>
          <w:p>
            <w:pPr>
              <w:jc w:val="center"/>
            </w:pPr>
            <w:r>
              <w:rPr>
                <w:rFonts w:ascii="宋体" w:hAnsi="宋体" w:eastAsia="宋体" w:cs="宋体"/>
                <w:b w:val="0"/>
                <w:i w:val="0"/>
                <w:color w:val="000000"/>
                <w:sz w:val="21"/>
              </w:rPr>
              <w:t>56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二十六、抗疫特别国债安排的支出</w:t>
            </w:r>
          </w:p>
        </w:tc>
        <w:tc>
          <w:tcPr>
            <w:tcW w:w="560" w:type="dxa"/>
            <w:vAlign w:val="center"/>
          </w:tcPr>
          <w:p>
            <w:pPr>
              <w:jc w:val="center"/>
            </w:pPr>
            <w:r>
              <w:rPr>
                <w:rFonts w:ascii="宋体" w:hAnsi="宋体" w:eastAsia="宋体" w:cs="宋体"/>
                <w:b w:val="0"/>
                <w:i w:val="0"/>
                <w:color w:val="000000"/>
                <w:sz w:val="21"/>
              </w:rPr>
              <w:t>57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pPr>
              <w:jc w:val="center"/>
            </w:pPr>
            <w:r>
              <w:rPr>
                <w:rFonts w:ascii="宋体" w:hAnsi="宋体" w:eastAsia="宋体" w:cs="宋体"/>
                <w:b/>
                <w:i w:val="0"/>
                <w:color w:val="000000"/>
                <w:sz w:val="21"/>
              </w:rPr>
              <w:t>本年收入合计</w:t>
            </w:r>
          </w:p>
        </w:tc>
        <w:tc>
          <w:tcPr>
            <w:tcW w:w="560" w:type="dxa"/>
            <w:vAlign w:val="center"/>
          </w:tcPr>
          <w:p>
            <w:pPr>
              <w:jc w:val="center"/>
            </w:pPr>
            <w:r>
              <w:rPr>
                <w:rFonts w:ascii="宋体" w:hAnsi="宋体" w:eastAsia="宋体" w:cs="宋体"/>
                <w:b w:val="0"/>
                <w:i w:val="0"/>
                <w:color w:val="000000"/>
                <w:sz w:val="21"/>
              </w:rPr>
              <w:t>27</w:t>
            </w:r>
          </w:p>
        </w:tc>
        <w:tc>
          <w:tcPr>
            <w:tcW w:w="2240" w:type="dxa"/>
            <w:vAlign w:val="center"/>
          </w:tcPr>
          <w:p>
            <w:pPr>
              <w:jc w:val="right"/>
            </w:pPr>
            <w:r>
              <w:rPr>
                <w:rFonts w:ascii="宋体" w:hAnsi="宋体" w:eastAsia="宋体" w:cs="宋体"/>
                <w:b w:val="0"/>
                <w:i w:val="0"/>
                <w:color w:val="000000"/>
                <w:sz w:val="21"/>
              </w:rPr>
              <w:t>2,279.12</w:t>
            </w:r>
          </w:p>
        </w:tc>
        <w:tc>
          <w:tcPr>
            <w:tcW w:w="4180" w:type="dxa"/>
            <w:vAlign w:val="center"/>
          </w:tcPr>
          <w:p>
            <w:pPr>
              <w:jc w:val="center"/>
            </w:pPr>
            <w:r>
              <w:rPr>
                <w:rFonts w:ascii="宋体" w:hAnsi="宋体" w:eastAsia="宋体" w:cs="宋体"/>
                <w:b/>
                <w:i w:val="0"/>
                <w:color w:val="000000"/>
                <w:sz w:val="21"/>
              </w:rPr>
              <w:t>本年支出合计</w:t>
            </w:r>
          </w:p>
        </w:tc>
        <w:tc>
          <w:tcPr>
            <w:tcW w:w="560" w:type="dxa"/>
            <w:vAlign w:val="center"/>
          </w:tcPr>
          <w:p>
            <w:pPr>
              <w:jc w:val="center"/>
            </w:pPr>
            <w:r>
              <w:rPr>
                <w:rFonts w:ascii="宋体" w:hAnsi="宋体" w:eastAsia="宋体" w:cs="宋体"/>
                <w:b w:val="0"/>
                <w:i w:val="0"/>
                <w:color w:val="000000"/>
                <w:sz w:val="21"/>
              </w:rPr>
              <w:t>58</w:t>
            </w:r>
          </w:p>
        </w:tc>
        <w:tc>
          <w:tcPr>
            <w:tcW w:w="2238" w:type="dxa"/>
            <w:vAlign w:val="center"/>
          </w:tcPr>
          <w:p>
            <w:pPr>
              <w:jc w:val="right"/>
            </w:pPr>
            <w:r>
              <w:rPr>
                <w:rFonts w:ascii="宋体" w:hAnsi="宋体" w:eastAsia="宋体" w:cs="宋体"/>
                <w:b w:val="0"/>
                <w:i w:val="0"/>
                <w:color w:val="000000"/>
                <w:sz w:val="21"/>
              </w:rPr>
              <w:t>2,278.18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pPr>
              <w:jc w:val="left"/>
            </w:pPr>
            <w:r>
              <w:rPr>
                <w:rFonts w:ascii="宋体" w:hAnsi="宋体" w:eastAsia="宋体" w:cs="宋体"/>
                <w:b w:val="0"/>
                <w:i w:val="0"/>
                <w:color w:val="000000"/>
                <w:sz w:val="21"/>
              </w:rPr>
              <w:t xml:space="preserve">    使用非财政拨款结余</w:t>
            </w:r>
          </w:p>
        </w:tc>
        <w:tc>
          <w:tcPr>
            <w:tcW w:w="560" w:type="dxa"/>
            <w:vAlign w:val="center"/>
          </w:tcPr>
          <w:p>
            <w:pPr>
              <w:jc w:val="center"/>
            </w:pPr>
            <w:r>
              <w:rPr>
                <w:rFonts w:ascii="宋体" w:hAnsi="宋体" w:eastAsia="宋体" w:cs="宋体"/>
                <w:b w:val="0"/>
                <w:i w:val="0"/>
                <w:color w:val="000000"/>
                <w:sz w:val="21"/>
              </w:rPr>
              <w:t>28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 xml:space="preserve">    结余分配</w:t>
            </w:r>
          </w:p>
        </w:tc>
        <w:tc>
          <w:tcPr>
            <w:tcW w:w="560" w:type="dxa"/>
            <w:vAlign w:val="center"/>
          </w:tcPr>
          <w:p>
            <w:pPr>
              <w:jc w:val="center"/>
            </w:pPr>
            <w:r>
              <w:rPr>
                <w:rFonts w:ascii="宋体" w:hAnsi="宋体" w:eastAsia="宋体" w:cs="宋体"/>
                <w:b w:val="0"/>
                <w:i w:val="0"/>
                <w:color w:val="000000"/>
                <w:sz w:val="21"/>
              </w:rPr>
              <w:t>59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pPr>
              <w:jc w:val="left"/>
            </w:pPr>
            <w:r>
              <w:rPr>
                <w:rFonts w:ascii="宋体" w:hAnsi="宋体" w:eastAsia="宋体" w:cs="宋体"/>
                <w:b w:val="0"/>
                <w:i w:val="0"/>
                <w:color w:val="000000"/>
                <w:sz w:val="21"/>
              </w:rPr>
              <w:t xml:space="preserve">    年初结转和结余</w:t>
            </w:r>
          </w:p>
        </w:tc>
        <w:tc>
          <w:tcPr>
            <w:tcW w:w="560" w:type="dxa"/>
            <w:vAlign w:val="center"/>
          </w:tcPr>
          <w:p>
            <w:pPr>
              <w:jc w:val="center"/>
            </w:pPr>
            <w:r>
              <w:rPr>
                <w:rFonts w:ascii="宋体" w:hAnsi="宋体" w:eastAsia="宋体" w:cs="宋体"/>
                <w:b w:val="0"/>
                <w:i w:val="0"/>
                <w:color w:val="000000"/>
                <w:sz w:val="21"/>
              </w:rPr>
              <w:t>29</w:t>
            </w:r>
          </w:p>
        </w:tc>
        <w:tc>
          <w:tcPr>
            <w:tcW w:w="2240" w:type="dxa"/>
            <w:vAlign w:val="center"/>
          </w:tcPr>
          <w:p>
            <w:pPr>
              <w:jc w:val="right"/>
            </w:pPr>
            <w:r>
              <w:rPr>
                <w:rFonts w:ascii="宋体" w:hAnsi="宋体" w:eastAsia="宋体" w:cs="宋体"/>
                <w:b w:val="0"/>
                <w:i w:val="0"/>
                <w:color w:val="000000"/>
                <w:sz w:val="21"/>
              </w:rPr>
              <w:t>4.75</w:t>
            </w:r>
          </w:p>
        </w:tc>
        <w:tc>
          <w:tcPr>
            <w:tcW w:w="4180" w:type="dxa"/>
            <w:vAlign w:val="center"/>
          </w:tcPr>
          <w:p>
            <w:pPr>
              <w:jc w:val="left"/>
            </w:pPr>
            <w:r>
              <w:rPr>
                <w:rFonts w:ascii="宋体" w:hAnsi="宋体" w:eastAsia="宋体" w:cs="宋体"/>
                <w:b w:val="0"/>
                <w:i w:val="0"/>
                <w:color w:val="000000"/>
                <w:sz w:val="21"/>
              </w:rPr>
              <w:t xml:space="preserve">    年末结转和结余</w:t>
            </w:r>
          </w:p>
        </w:tc>
        <w:tc>
          <w:tcPr>
            <w:tcW w:w="560" w:type="dxa"/>
            <w:vAlign w:val="center"/>
          </w:tcPr>
          <w:p>
            <w:pPr>
              <w:jc w:val="center"/>
            </w:pPr>
            <w:r>
              <w:rPr>
                <w:rFonts w:ascii="宋体" w:hAnsi="宋体" w:eastAsia="宋体" w:cs="宋体"/>
                <w:b w:val="0"/>
                <w:i w:val="0"/>
                <w:color w:val="000000"/>
                <w:sz w:val="21"/>
              </w:rPr>
              <w:t>60</w:t>
            </w:r>
          </w:p>
        </w:tc>
        <w:tc>
          <w:tcPr>
            <w:tcW w:w="2238" w:type="dxa"/>
            <w:vAlign w:val="center"/>
          </w:tcPr>
          <w:p>
            <w:pPr>
              <w:jc w:val="right"/>
            </w:pPr>
            <w:r>
              <w:rPr>
                <w:rFonts w:ascii="宋体" w:hAnsi="宋体" w:eastAsia="宋体" w:cs="宋体"/>
                <w:b w:val="0"/>
                <w:i w:val="0"/>
                <w:color w:val="000000"/>
                <w:sz w:val="21"/>
              </w:rPr>
              <w:t>5.69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30</w:t>
            </w:r>
          </w:p>
        </w:tc>
        <w:tc>
          <w:tcPr>
            <w:tcW w:w="2240" w:type="dxa"/>
            <w:vAlign w:val="center"/>
          </w:tcPr>
          <w:p/>
        </w:tc>
        <w:tc>
          <w:tcPr>
            <w:tcW w:w="4180" w:type="dxa"/>
            <w:vAlign w:val="center"/>
          </w:tcPr>
          <w:p/>
        </w:tc>
        <w:tc>
          <w:tcPr>
            <w:tcW w:w="560" w:type="dxa"/>
            <w:vAlign w:val="center"/>
          </w:tcPr>
          <w:p>
            <w:pPr>
              <w:jc w:val="center"/>
            </w:pPr>
            <w:r>
              <w:rPr>
                <w:rFonts w:ascii="宋体" w:hAnsi="宋体" w:eastAsia="宋体" w:cs="宋体"/>
                <w:b w:val="0"/>
                <w:i w:val="0"/>
                <w:color w:val="000000"/>
                <w:sz w:val="21"/>
              </w:rPr>
              <w:t>61</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pPr>
              <w:jc w:val="center"/>
            </w:pPr>
            <w:r>
              <w:rPr>
                <w:rFonts w:ascii="宋体" w:hAnsi="宋体" w:eastAsia="宋体" w:cs="宋体"/>
                <w:b/>
                <w:i w:val="0"/>
                <w:color w:val="000000"/>
                <w:sz w:val="21"/>
              </w:rPr>
              <w:t>总   计</w:t>
            </w:r>
          </w:p>
        </w:tc>
        <w:tc>
          <w:tcPr>
            <w:tcW w:w="560" w:type="dxa"/>
            <w:vAlign w:val="center"/>
          </w:tcPr>
          <w:p>
            <w:pPr>
              <w:jc w:val="center"/>
            </w:pPr>
            <w:r>
              <w:rPr>
                <w:rFonts w:ascii="宋体" w:hAnsi="宋体" w:eastAsia="宋体" w:cs="宋体"/>
                <w:b w:val="0"/>
                <w:i w:val="0"/>
                <w:color w:val="000000"/>
                <w:sz w:val="21"/>
              </w:rPr>
              <w:t>31</w:t>
            </w:r>
          </w:p>
        </w:tc>
        <w:tc>
          <w:tcPr>
            <w:tcW w:w="2240" w:type="dxa"/>
            <w:vAlign w:val="center"/>
          </w:tcPr>
          <w:p>
            <w:pPr>
              <w:jc w:val="right"/>
            </w:pPr>
            <w:r>
              <w:rPr>
                <w:rFonts w:ascii="宋体" w:hAnsi="宋体" w:eastAsia="宋体" w:cs="宋体"/>
                <w:b w:val="0"/>
                <w:i w:val="0"/>
                <w:color w:val="000000"/>
                <w:sz w:val="21"/>
              </w:rPr>
              <w:t>2,283.87</w:t>
            </w:r>
          </w:p>
        </w:tc>
        <w:tc>
          <w:tcPr>
            <w:tcW w:w="4180" w:type="dxa"/>
            <w:vAlign w:val="center"/>
          </w:tcPr>
          <w:p>
            <w:pPr>
              <w:jc w:val="center"/>
            </w:pPr>
            <w:r>
              <w:rPr>
                <w:rFonts w:ascii="宋体" w:hAnsi="宋体" w:eastAsia="宋体" w:cs="宋体"/>
                <w:b/>
                <w:i w:val="0"/>
                <w:color w:val="000000"/>
                <w:sz w:val="21"/>
              </w:rPr>
              <w:t>总   计</w:t>
            </w:r>
          </w:p>
        </w:tc>
        <w:tc>
          <w:tcPr>
            <w:tcW w:w="560" w:type="dxa"/>
            <w:vAlign w:val="center"/>
          </w:tcPr>
          <w:p>
            <w:pPr>
              <w:jc w:val="center"/>
            </w:pPr>
            <w:r>
              <w:rPr>
                <w:rFonts w:ascii="宋体" w:hAnsi="宋体" w:eastAsia="宋体" w:cs="宋体"/>
                <w:b w:val="0"/>
                <w:i w:val="0"/>
                <w:color w:val="000000"/>
                <w:sz w:val="21"/>
              </w:rPr>
              <w:t>62</w:t>
            </w:r>
          </w:p>
        </w:tc>
        <w:tc>
          <w:tcPr>
            <w:tcW w:w="2238" w:type="dxa"/>
            <w:vAlign w:val="center"/>
          </w:tcPr>
          <w:p>
            <w:pPr>
              <w:jc w:val="right"/>
            </w:pPr>
            <w:r>
              <w:rPr>
                <w:rFonts w:ascii="宋体" w:hAnsi="宋体" w:eastAsia="宋体" w:cs="宋体"/>
                <w:b w:val="0"/>
                <w:i w:val="0"/>
                <w:color w:val="000000"/>
                <w:sz w:val="21"/>
              </w:rPr>
              <w:t>2,283.87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13958"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1"/>
              </w:rPr>
              <w:t>注：1.本表反映本年度的总收支和年末结转结余情况，本套报表金额单位转换时可能存在尾数误差。</w:t>
            </w:r>
          </w:p>
        </w:tc>
      </w:tr>
    </w:tbl>
    <w:p>
      <w:pPr>
        <w:snapToGrid w:val="0"/>
        <w:spacing w:before="0" w:after="0" w:line="0" w:lineRule="auto"/>
      </w:pPr>
      <w:r>
        <w:rPr>
          <w:sz w:val="8"/>
        </w:rPr>
        <w:t xml:space="preserve"> </w:t>
      </w:r>
    </w:p>
    <w:p>
      <w:pPr>
        <w:bidi w:val="0"/>
        <w:rPr>
          <w:rFonts w:hint="eastAsia"/>
          <w:lang w:val="en-US" w:eastAsia="zh-CN"/>
        </w:rPr>
        <w:sectPr>
          <w:pgSz w:w="16838" w:h="11906" w:orient="landscape"/>
          <w:pgMar w:top="1134" w:right="1440" w:bottom="1134" w:left="1440" w:header="720" w:footer="720" w:gutter="0"/>
          <w:pgNumType w:fmt="decimal"/>
          <w:cols w:space="425" w:num="1"/>
          <w:docGrid w:type="lines" w:linePitch="312" w:charSpace="0"/>
        </w:sectPr>
      </w:pPr>
    </w:p>
    <w:p>
      <w:pPr>
        <w:pStyle w:val="3"/>
        <w:bidi w:val="0"/>
        <w:jc w:val="center"/>
        <w:rPr>
          <w:rFonts w:hint="eastAsia" w:ascii="楷体" w:hAnsi="楷体" w:eastAsia="楷体" w:cs="楷体"/>
          <w:b w:val="0"/>
          <w:bCs/>
          <w:lang w:val="en-US" w:eastAsia="zh-CN"/>
        </w:rPr>
      </w:pPr>
      <w:bookmarkStart w:id="10" w:name="_Toc_1_2_0000000037"/>
      <w:r>
        <w:rPr>
          <w:rFonts w:hint="eastAsia" w:ascii="楷体" w:hAnsi="楷体" w:eastAsia="楷体" w:cs="楷体"/>
          <w:b w:val="0"/>
          <w:bCs/>
          <w:lang w:val="en-US" w:eastAsia="zh-CN"/>
        </w:rPr>
        <w:t>2023年度收入决算表（分单位）</w:t>
      </w:r>
      <w:bookmarkEnd w:id="10"/>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部门：庆元县人民检察院（汇总）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480"/>
        <w:gridCol w:w="1500"/>
        <w:gridCol w:w="1500"/>
        <w:gridCol w:w="1500"/>
        <w:gridCol w:w="1500"/>
        <w:gridCol w:w="1500"/>
        <w:gridCol w:w="150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68" w:hRule="exact"/>
          <w:jc w:val="center"/>
        </w:trPr>
        <w:tc>
          <w:tcPr>
            <w:tcW w:w="3480" w:type="dxa"/>
            <w:vMerge w:val="restart"/>
            <w:vAlign w:val="center"/>
          </w:tcPr>
          <w:p>
            <w:pPr>
              <w:jc w:val="center"/>
            </w:pPr>
            <w:r>
              <w:rPr>
                <w:rFonts w:ascii="宋体" w:hAnsi="宋体" w:eastAsia="宋体" w:cs="宋体"/>
                <w:b w:val="0"/>
                <w:i w:val="0"/>
                <w:color w:val="000000"/>
                <w:sz w:val="17"/>
              </w:rPr>
              <w:t>单位名称</w:t>
            </w:r>
          </w:p>
        </w:tc>
        <w:tc>
          <w:tcPr>
            <w:tcW w:w="1500" w:type="dxa"/>
            <w:vMerge w:val="restart"/>
            <w:vAlign w:val="center"/>
          </w:tcPr>
          <w:p>
            <w:pPr>
              <w:jc w:val="center"/>
            </w:pPr>
            <w:r>
              <w:rPr>
                <w:rFonts w:ascii="宋体" w:hAnsi="宋体" w:eastAsia="宋体" w:cs="宋体"/>
                <w:b w:val="0"/>
                <w:i w:val="0"/>
                <w:color w:val="000000"/>
                <w:sz w:val="17"/>
              </w:rPr>
              <w:t>本年收入合计</w:t>
            </w:r>
          </w:p>
        </w:tc>
        <w:tc>
          <w:tcPr>
            <w:tcW w:w="1500" w:type="dxa"/>
            <w:vMerge w:val="restart"/>
            <w:vAlign w:val="center"/>
          </w:tcPr>
          <w:p>
            <w:pPr>
              <w:jc w:val="center"/>
            </w:pPr>
            <w:r>
              <w:rPr>
                <w:rFonts w:ascii="宋体" w:hAnsi="宋体" w:eastAsia="宋体" w:cs="宋体"/>
                <w:b w:val="0"/>
                <w:i w:val="0"/>
                <w:color w:val="000000"/>
                <w:sz w:val="17"/>
              </w:rPr>
              <w:t>财政拨款收入</w:t>
            </w:r>
          </w:p>
        </w:tc>
        <w:tc>
          <w:tcPr>
            <w:tcW w:w="1500" w:type="dxa"/>
            <w:vMerge w:val="restart"/>
            <w:vAlign w:val="center"/>
          </w:tcPr>
          <w:p>
            <w:pPr>
              <w:jc w:val="center"/>
            </w:pPr>
            <w:r>
              <w:rPr>
                <w:rFonts w:ascii="宋体" w:hAnsi="宋体" w:eastAsia="宋体" w:cs="宋体"/>
                <w:b w:val="0"/>
                <w:i w:val="0"/>
                <w:color w:val="000000"/>
                <w:sz w:val="17"/>
              </w:rPr>
              <w:t>上级补助收入</w:t>
            </w:r>
          </w:p>
        </w:tc>
        <w:tc>
          <w:tcPr>
            <w:tcW w:w="1500" w:type="dxa"/>
            <w:vMerge w:val="restart"/>
            <w:vAlign w:val="center"/>
          </w:tcPr>
          <w:p>
            <w:pPr>
              <w:jc w:val="center"/>
            </w:pPr>
            <w:r>
              <w:rPr>
                <w:rFonts w:ascii="宋体" w:hAnsi="宋体" w:eastAsia="宋体" w:cs="宋体"/>
                <w:b w:val="0"/>
                <w:i w:val="0"/>
                <w:color w:val="000000"/>
                <w:sz w:val="17"/>
              </w:rPr>
              <w:t>事业收入</w:t>
            </w:r>
          </w:p>
        </w:tc>
        <w:tc>
          <w:tcPr>
            <w:tcW w:w="1500" w:type="dxa"/>
            <w:vMerge w:val="restart"/>
            <w:vAlign w:val="center"/>
          </w:tcPr>
          <w:p>
            <w:pPr>
              <w:jc w:val="center"/>
            </w:pPr>
            <w:r>
              <w:rPr>
                <w:rFonts w:ascii="宋体" w:hAnsi="宋体" w:eastAsia="宋体" w:cs="宋体"/>
                <w:b w:val="0"/>
                <w:i w:val="0"/>
                <w:color w:val="000000"/>
                <w:sz w:val="17"/>
              </w:rPr>
              <w:t>经营收入</w:t>
            </w:r>
          </w:p>
        </w:tc>
        <w:tc>
          <w:tcPr>
            <w:tcW w:w="1500" w:type="dxa"/>
            <w:vMerge w:val="restart"/>
            <w:vAlign w:val="center"/>
          </w:tcPr>
          <w:p>
            <w:pPr>
              <w:jc w:val="center"/>
            </w:pPr>
            <w:r>
              <w:rPr>
                <w:rFonts w:ascii="宋体" w:hAnsi="宋体" w:eastAsia="宋体" w:cs="宋体"/>
                <w:b w:val="0"/>
                <w:i w:val="0"/>
                <w:color w:val="000000"/>
                <w:sz w:val="17"/>
              </w:rPr>
              <w:t>附属单位上缴收入</w:t>
            </w:r>
          </w:p>
        </w:tc>
        <w:tc>
          <w:tcPr>
            <w:tcW w:w="147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68" w:hRule="exact"/>
          <w:jc w:val="center"/>
        </w:trPr>
        <w:tc>
          <w:tcPr>
            <w:tcW w:w="3480" w:type="dxa"/>
            <w:vMerge w:val="continue"/>
            <w:vAlign w:val="center"/>
          </w:tcPr>
          <w:p/>
        </w:tc>
        <w:tc>
          <w:tcPr>
            <w:tcW w:w="1500" w:type="dxa"/>
            <w:vMerge w:val="continue"/>
            <w:vAlign w:val="center"/>
          </w:tcPr>
          <w:p/>
        </w:tc>
        <w:tc>
          <w:tcPr>
            <w:tcW w:w="1500" w:type="dxa"/>
            <w:vMerge w:val="continue"/>
            <w:vAlign w:val="center"/>
          </w:tcPr>
          <w:p/>
        </w:tc>
        <w:tc>
          <w:tcPr>
            <w:tcW w:w="1500" w:type="dxa"/>
            <w:vMerge w:val="continue"/>
            <w:vAlign w:val="center"/>
          </w:tcPr>
          <w:p/>
        </w:tc>
        <w:tc>
          <w:tcPr>
            <w:tcW w:w="1500" w:type="dxa"/>
            <w:vMerge w:val="continue"/>
            <w:vAlign w:val="center"/>
          </w:tcPr>
          <w:p/>
        </w:tc>
        <w:tc>
          <w:tcPr>
            <w:tcW w:w="1500" w:type="dxa"/>
            <w:vMerge w:val="continue"/>
            <w:vAlign w:val="center"/>
          </w:tcPr>
          <w:p/>
        </w:tc>
        <w:tc>
          <w:tcPr>
            <w:tcW w:w="150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3" w:hRule="exact"/>
          <w:jc w:val="center"/>
        </w:trPr>
        <w:tc>
          <w:tcPr>
            <w:tcW w:w="3480" w:type="dxa"/>
            <w:vAlign w:val="center"/>
          </w:tcPr>
          <w:p>
            <w:pPr>
              <w:jc w:val="center"/>
            </w:pPr>
            <w:r>
              <w:rPr>
                <w:rFonts w:ascii="宋体" w:hAnsi="宋体" w:eastAsia="宋体" w:cs="宋体"/>
                <w:b w:val="0"/>
                <w:i w:val="0"/>
                <w:color w:val="000000"/>
                <w:sz w:val="17"/>
              </w:rPr>
              <w:t>栏次</w:t>
            </w:r>
          </w:p>
        </w:tc>
        <w:tc>
          <w:tcPr>
            <w:tcW w:w="1500" w:type="dxa"/>
            <w:vAlign w:val="center"/>
          </w:tcPr>
          <w:p>
            <w:pPr>
              <w:jc w:val="center"/>
            </w:pPr>
            <w:r>
              <w:rPr>
                <w:rFonts w:ascii="宋体" w:hAnsi="宋体" w:eastAsia="宋体" w:cs="宋体"/>
                <w:b w:val="0"/>
                <w:i w:val="0"/>
                <w:color w:val="000000"/>
                <w:sz w:val="17"/>
              </w:rPr>
              <w:t>1</w:t>
            </w:r>
          </w:p>
        </w:tc>
        <w:tc>
          <w:tcPr>
            <w:tcW w:w="1500" w:type="dxa"/>
            <w:vAlign w:val="center"/>
          </w:tcPr>
          <w:p>
            <w:pPr>
              <w:jc w:val="center"/>
            </w:pPr>
            <w:r>
              <w:rPr>
                <w:rFonts w:ascii="宋体" w:hAnsi="宋体" w:eastAsia="宋体" w:cs="宋体"/>
                <w:b w:val="0"/>
                <w:i w:val="0"/>
                <w:color w:val="000000"/>
                <w:sz w:val="17"/>
              </w:rPr>
              <w:t>2</w:t>
            </w:r>
          </w:p>
        </w:tc>
        <w:tc>
          <w:tcPr>
            <w:tcW w:w="1500" w:type="dxa"/>
            <w:vAlign w:val="center"/>
          </w:tcPr>
          <w:p>
            <w:pPr>
              <w:jc w:val="center"/>
            </w:pPr>
            <w:r>
              <w:rPr>
                <w:rFonts w:ascii="宋体" w:hAnsi="宋体" w:eastAsia="宋体" w:cs="宋体"/>
                <w:b w:val="0"/>
                <w:i w:val="0"/>
                <w:color w:val="000000"/>
                <w:sz w:val="17"/>
              </w:rPr>
              <w:t>3</w:t>
            </w:r>
          </w:p>
        </w:tc>
        <w:tc>
          <w:tcPr>
            <w:tcW w:w="1500" w:type="dxa"/>
            <w:vAlign w:val="center"/>
          </w:tcPr>
          <w:p>
            <w:pPr>
              <w:jc w:val="center"/>
            </w:pPr>
            <w:r>
              <w:rPr>
                <w:rFonts w:ascii="宋体" w:hAnsi="宋体" w:eastAsia="宋体" w:cs="宋体"/>
                <w:b w:val="0"/>
                <w:i w:val="0"/>
                <w:color w:val="000000"/>
                <w:sz w:val="17"/>
              </w:rPr>
              <w:t>4</w:t>
            </w:r>
          </w:p>
        </w:tc>
        <w:tc>
          <w:tcPr>
            <w:tcW w:w="1500" w:type="dxa"/>
            <w:vAlign w:val="center"/>
          </w:tcPr>
          <w:p>
            <w:pPr>
              <w:jc w:val="center"/>
            </w:pPr>
            <w:r>
              <w:rPr>
                <w:rFonts w:ascii="宋体" w:hAnsi="宋体" w:eastAsia="宋体" w:cs="宋体"/>
                <w:b w:val="0"/>
                <w:i w:val="0"/>
                <w:color w:val="000000"/>
                <w:sz w:val="17"/>
              </w:rPr>
              <w:t>5</w:t>
            </w:r>
          </w:p>
        </w:tc>
        <w:tc>
          <w:tcPr>
            <w:tcW w:w="1500" w:type="dxa"/>
            <w:vAlign w:val="center"/>
          </w:tcPr>
          <w:p>
            <w:pPr>
              <w:jc w:val="center"/>
            </w:pPr>
            <w:r>
              <w:rPr>
                <w:rFonts w:ascii="宋体" w:hAnsi="宋体" w:eastAsia="宋体" w:cs="宋体"/>
                <w:b w:val="0"/>
                <w:i w:val="0"/>
                <w:color w:val="000000"/>
                <w:sz w:val="17"/>
              </w:rPr>
              <w:t>6</w:t>
            </w:r>
          </w:p>
        </w:tc>
        <w:tc>
          <w:tcPr>
            <w:tcW w:w="147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3480" w:type="dxa"/>
            <w:vAlign w:val="center"/>
          </w:tcPr>
          <w:p>
            <w:pPr>
              <w:jc w:val="center"/>
            </w:pPr>
            <w:r>
              <w:rPr>
                <w:rFonts w:ascii="宋体" w:hAnsi="宋体" w:eastAsia="宋体" w:cs="宋体"/>
                <w:b w:val="0"/>
                <w:i w:val="0"/>
                <w:color w:val="000000"/>
                <w:sz w:val="17"/>
              </w:rPr>
              <w:t>合计</w:t>
            </w:r>
          </w:p>
        </w:tc>
        <w:tc>
          <w:tcPr>
            <w:tcW w:w="1500" w:type="dxa"/>
            <w:vAlign w:val="center"/>
          </w:tcPr>
          <w:p>
            <w:pPr>
              <w:jc w:val="right"/>
            </w:pPr>
            <w:r>
              <w:rPr>
                <w:rFonts w:ascii="宋体" w:hAnsi="宋体" w:eastAsia="宋体" w:cs="宋体"/>
                <w:b w:val="0"/>
                <w:i w:val="0"/>
                <w:color w:val="000000"/>
                <w:sz w:val="17"/>
              </w:rPr>
              <w:t>2,279.12</w:t>
            </w:r>
          </w:p>
        </w:tc>
        <w:tc>
          <w:tcPr>
            <w:tcW w:w="1500" w:type="dxa"/>
            <w:vAlign w:val="center"/>
          </w:tcPr>
          <w:p>
            <w:pPr>
              <w:jc w:val="right"/>
            </w:pPr>
            <w:r>
              <w:rPr>
                <w:rFonts w:ascii="宋体" w:hAnsi="宋体" w:eastAsia="宋体" w:cs="宋体"/>
                <w:b w:val="0"/>
                <w:i w:val="0"/>
                <w:color w:val="000000"/>
                <w:sz w:val="17"/>
              </w:rPr>
              <w:t>2,273.44</w:t>
            </w:r>
          </w:p>
        </w:tc>
        <w:tc>
          <w:tcPr>
            <w:tcW w:w="1500" w:type="dxa"/>
            <w:vAlign w:val="center"/>
          </w:tcPr>
          <w:p>
            <w:pPr>
              <w:jc w:val="right"/>
            </w:pPr>
            <w:r>
              <w:rPr>
                <w:rFonts w:ascii="宋体" w:hAnsi="宋体" w:eastAsia="宋体" w:cs="宋体"/>
                <w:b w:val="0"/>
                <w:i w:val="0"/>
                <w:color w:val="000000"/>
                <w:sz w:val="17"/>
              </w:rPr>
              <w:t>0.00</w:t>
            </w:r>
          </w:p>
        </w:tc>
        <w:tc>
          <w:tcPr>
            <w:tcW w:w="1500" w:type="dxa"/>
            <w:vAlign w:val="center"/>
          </w:tcPr>
          <w:p>
            <w:pPr>
              <w:jc w:val="right"/>
            </w:pPr>
            <w:r>
              <w:rPr>
                <w:rFonts w:ascii="宋体" w:hAnsi="宋体" w:eastAsia="宋体" w:cs="宋体"/>
                <w:b w:val="0"/>
                <w:i w:val="0"/>
                <w:color w:val="000000"/>
                <w:sz w:val="17"/>
              </w:rPr>
              <w:t>0.00</w:t>
            </w:r>
          </w:p>
        </w:tc>
        <w:tc>
          <w:tcPr>
            <w:tcW w:w="1500" w:type="dxa"/>
            <w:vAlign w:val="center"/>
          </w:tcPr>
          <w:p>
            <w:pPr>
              <w:jc w:val="right"/>
            </w:pPr>
            <w:r>
              <w:rPr>
                <w:rFonts w:ascii="宋体" w:hAnsi="宋体" w:eastAsia="宋体" w:cs="宋体"/>
                <w:b w:val="0"/>
                <w:i w:val="0"/>
                <w:color w:val="000000"/>
                <w:sz w:val="17"/>
              </w:rPr>
              <w:t>0.00</w:t>
            </w:r>
          </w:p>
        </w:tc>
        <w:tc>
          <w:tcPr>
            <w:tcW w:w="1500" w:type="dxa"/>
            <w:vAlign w:val="center"/>
          </w:tcPr>
          <w:p>
            <w:pPr>
              <w:jc w:val="right"/>
            </w:pPr>
            <w:r>
              <w:rPr>
                <w:rFonts w:ascii="宋体" w:hAnsi="宋体" w:eastAsia="宋体" w:cs="宋体"/>
                <w:b w:val="0"/>
                <w:i w:val="0"/>
                <w:color w:val="000000"/>
                <w:sz w:val="17"/>
              </w:rPr>
              <w:t>0.00</w:t>
            </w:r>
          </w:p>
        </w:tc>
        <w:tc>
          <w:tcPr>
            <w:tcW w:w="1478" w:type="dxa"/>
            <w:vAlign w:val="center"/>
          </w:tcPr>
          <w:p>
            <w:pPr>
              <w:jc w:val="right"/>
            </w:pPr>
            <w:r>
              <w:rPr>
                <w:rFonts w:ascii="宋体" w:hAnsi="宋体" w:eastAsia="宋体" w:cs="宋体"/>
                <w:b w:val="0"/>
                <w:i w:val="0"/>
                <w:color w:val="000000"/>
                <w:sz w:val="17"/>
              </w:rPr>
              <w:t>5.68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24" w:hRule="exact"/>
          <w:jc w:val="center"/>
        </w:trPr>
        <w:tc>
          <w:tcPr>
            <w:tcW w:w="3480" w:type="dxa"/>
            <w:vAlign w:val="center"/>
          </w:tcPr>
          <w:p>
            <w:pPr>
              <w:jc w:val="left"/>
            </w:pPr>
            <w:r>
              <w:rPr>
                <w:rFonts w:ascii="宋体" w:hAnsi="宋体" w:eastAsia="宋体" w:cs="宋体"/>
                <w:b w:val="0"/>
                <w:i w:val="0"/>
                <w:color w:val="000000"/>
                <w:sz w:val="17"/>
              </w:rPr>
              <w:t>庆元县人民检察院</w:t>
            </w:r>
          </w:p>
        </w:tc>
        <w:tc>
          <w:tcPr>
            <w:tcW w:w="1500" w:type="dxa"/>
            <w:vAlign w:val="center"/>
          </w:tcPr>
          <w:p>
            <w:pPr>
              <w:jc w:val="right"/>
            </w:pPr>
            <w:r>
              <w:rPr>
                <w:rFonts w:ascii="宋体" w:hAnsi="宋体" w:eastAsia="宋体" w:cs="宋体"/>
                <w:b w:val="0"/>
                <w:i w:val="0"/>
                <w:color w:val="000000"/>
                <w:sz w:val="17"/>
              </w:rPr>
              <w:t>2,279.12</w:t>
            </w:r>
          </w:p>
        </w:tc>
        <w:tc>
          <w:tcPr>
            <w:tcW w:w="1500" w:type="dxa"/>
            <w:vAlign w:val="center"/>
          </w:tcPr>
          <w:p>
            <w:pPr>
              <w:jc w:val="right"/>
            </w:pPr>
            <w:r>
              <w:rPr>
                <w:rFonts w:ascii="宋体" w:hAnsi="宋体" w:eastAsia="宋体" w:cs="宋体"/>
                <w:b w:val="0"/>
                <w:i w:val="0"/>
                <w:color w:val="000000"/>
                <w:sz w:val="17"/>
              </w:rPr>
              <w:t>2,273.44</w:t>
            </w:r>
          </w:p>
        </w:tc>
        <w:tc>
          <w:tcPr>
            <w:tcW w:w="1500" w:type="dxa"/>
            <w:vAlign w:val="center"/>
          </w:tcPr>
          <w:p>
            <w:pPr>
              <w:jc w:val="right"/>
            </w:pPr>
            <w:r>
              <w:rPr>
                <w:rFonts w:ascii="宋体" w:hAnsi="宋体" w:eastAsia="宋体" w:cs="宋体"/>
                <w:b w:val="0"/>
                <w:i w:val="0"/>
                <w:color w:val="000000"/>
                <w:sz w:val="17"/>
              </w:rPr>
              <w:t>0.00</w:t>
            </w:r>
          </w:p>
        </w:tc>
        <w:tc>
          <w:tcPr>
            <w:tcW w:w="1500" w:type="dxa"/>
            <w:vAlign w:val="center"/>
          </w:tcPr>
          <w:p>
            <w:pPr>
              <w:jc w:val="right"/>
            </w:pPr>
            <w:r>
              <w:rPr>
                <w:rFonts w:ascii="宋体" w:hAnsi="宋体" w:eastAsia="宋体" w:cs="宋体"/>
                <w:b w:val="0"/>
                <w:i w:val="0"/>
                <w:color w:val="000000"/>
                <w:sz w:val="17"/>
              </w:rPr>
              <w:t>0.00</w:t>
            </w:r>
          </w:p>
        </w:tc>
        <w:tc>
          <w:tcPr>
            <w:tcW w:w="1500" w:type="dxa"/>
            <w:vAlign w:val="center"/>
          </w:tcPr>
          <w:p>
            <w:pPr>
              <w:jc w:val="right"/>
            </w:pPr>
            <w:r>
              <w:rPr>
                <w:rFonts w:ascii="宋体" w:hAnsi="宋体" w:eastAsia="宋体" w:cs="宋体"/>
                <w:b w:val="0"/>
                <w:i w:val="0"/>
                <w:color w:val="000000"/>
                <w:sz w:val="17"/>
              </w:rPr>
              <w:t>0.00</w:t>
            </w:r>
          </w:p>
        </w:tc>
        <w:tc>
          <w:tcPr>
            <w:tcW w:w="1500" w:type="dxa"/>
            <w:vAlign w:val="center"/>
          </w:tcPr>
          <w:p>
            <w:pPr>
              <w:jc w:val="right"/>
            </w:pPr>
            <w:r>
              <w:rPr>
                <w:rFonts w:ascii="宋体" w:hAnsi="宋体" w:eastAsia="宋体" w:cs="宋体"/>
                <w:b w:val="0"/>
                <w:i w:val="0"/>
                <w:color w:val="000000"/>
                <w:sz w:val="17"/>
              </w:rPr>
              <w:t>0.00</w:t>
            </w:r>
          </w:p>
        </w:tc>
        <w:tc>
          <w:tcPr>
            <w:tcW w:w="1478" w:type="dxa"/>
            <w:vAlign w:val="center"/>
          </w:tcPr>
          <w:p>
            <w:pPr>
              <w:jc w:val="right"/>
            </w:pPr>
            <w:r>
              <w:rPr>
                <w:rFonts w:ascii="宋体" w:hAnsi="宋体" w:eastAsia="宋体" w:cs="宋体"/>
                <w:b w:val="0"/>
                <w:i w:val="0"/>
                <w:color w:val="000000"/>
                <w:sz w:val="17"/>
              </w:rPr>
              <w:t>5.68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1395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注：本表反映本年度取得各项收入情况。</w:t>
            </w:r>
          </w:p>
        </w:tc>
      </w:tr>
    </w:tbl>
    <w:p>
      <w:pPr>
        <w:snapToGrid w:val="0"/>
        <w:spacing w:before="0" w:after="0" w:line="0" w:lineRule="auto"/>
      </w:pPr>
      <w:r>
        <w:rPr>
          <w:sz w:val="8"/>
        </w:rPr>
        <w:t xml:space="preserve"> </w:t>
      </w:r>
      <w:r>
        <w:br w:type="page"/>
      </w:r>
    </w:p>
    <w:p>
      <w:pPr>
        <w:pStyle w:val="3"/>
        <w:bidi w:val="0"/>
        <w:jc w:val="center"/>
        <w:rPr>
          <w:rFonts w:hint="eastAsia" w:ascii="楷体" w:hAnsi="楷体" w:eastAsia="楷体" w:cs="楷体"/>
          <w:b w:val="0"/>
          <w:bCs/>
          <w:lang w:val="en-US" w:eastAsia="zh-CN"/>
        </w:rPr>
      </w:pPr>
      <w:bookmarkStart w:id="11" w:name="_Toc_1_2_0000000038"/>
      <w:r>
        <w:rPr>
          <w:rFonts w:hint="eastAsia" w:ascii="楷体" w:hAnsi="楷体" w:eastAsia="楷体" w:cs="楷体"/>
          <w:b w:val="0"/>
          <w:bCs/>
          <w:lang w:val="en-US" w:eastAsia="zh-CN"/>
        </w:rPr>
        <w:t>2023年度收入决算表（分科目）</w:t>
      </w:r>
      <w:bookmarkEnd w:id="11"/>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部门：庆元县人民检察院（汇总）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0"/>
        <w:gridCol w:w="320"/>
        <w:gridCol w:w="320"/>
        <w:gridCol w:w="296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4" w:hRule="exact"/>
          <w:jc w:val="center"/>
        </w:trPr>
        <w:tc>
          <w:tcPr>
            <w:tcW w:w="3920" w:type="dxa"/>
            <w:gridSpan w:val="4"/>
            <w:vAlign w:val="center"/>
          </w:tcPr>
          <w:p>
            <w:pPr>
              <w:jc w:val="center"/>
            </w:pPr>
            <w:r>
              <w:rPr>
                <w:rFonts w:ascii="宋体" w:hAnsi="宋体" w:eastAsia="宋体" w:cs="宋体"/>
                <w:b w:val="0"/>
                <w:i w:val="0"/>
                <w:color w:val="000000"/>
                <w:sz w:val="17"/>
              </w:rPr>
              <w:t>项   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960" w:type="dxa"/>
            <w:gridSpan w:val="3"/>
            <w:vMerge w:val="restart"/>
            <w:vAlign w:val="center"/>
          </w:tcPr>
          <w:p>
            <w:pPr>
              <w:jc w:val="center"/>
            </w:pPr>
            <w:r>
              <w:rPr>
                <w:rFonts w:ascii="宋体" w:hAnsi="宋体" w:eastAsia="宋体" w:cs="宋体"/>
                <w:b w:val="0"/>
                <w:i w:val="0"/>
                <w:color w:val="000000"/>
                <w:sz w:val="17"/>
              </w:rPr>
              <w:t>支出功能分类科目编码</w:t>
            </w:r>
          </w:p>
        </w:tc>
        <w:tc>
          <w:tcPr>
            <w:tcW w:w="296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960" w:type="dxa"/>
            <w:gridSpan w:val="3"/>
            <w:vMerge w:val="continue"/>
            <w:vAlign w:val="center"/>
          </w:tcPr>
          <w:p/>
        </w:tc>
        <w:tc>
          <w:tcPr>
            <w:tcW w:w="296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4" w:hRule="exact"/>
          <w:jc w:val="center"/>
        </w:trPr>
        <w:tc>
          <w:tcPr>
            <w:tcW w:w="960" w:type="dxa"/>
            <w:gridSpan w:val="3"/>
            <w:vMerge w:val="continue"/>
            <w:vAlign w:val="center"/>
          </w:tcPr>
          <w:p/>
        </w:tc>
        <w:tc>
          <w:tcPr>
            <w:tcW w:w="296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320" w:type="dxa"/>
            <w:vMerge w:val="restart"/>
            <w:vAlign w:val="center"/>
          </w:tcPr>
          <w:p>
            <w:pPr>
              <w:jc w:val="center"/>
            </w:pPr>
            <w:r>
              <w:rPr>
                <w:rFonts w:ascii="宋体" w:hAnsi="宋体" w:eastAsia="宋体" w:cs="宋体"/>
                <w:b w:val="0"/>
                <w:i w:val="0"/>
                <w:color w:val="000000"/>
                <w:sz w:val="17"/>
              </w:rPr>
              <w:t>类</w:t>
            </w:r>
          </w:p>
        </w:tc>
        <w:tc>
          <w:tcPr>
            <w:tcW w:w="320" w:type="dxa"/>
            <w:vMerge w:val="restart"/>
            <w:vAlign w:val="center"/>
          </w:tcPr>
          <w:p>
            <w:pPr>
              <w:jc w:val="center"/>
            </w:pPr>
            <w:r>
              <w:rPr>
                <w:rFonts w:ascii="宋体" w:hAnsi="宋体" w:eastAsia="宋体" w:cs="宋体"/>
                <w:b w:val="0"/>
                <w:i w:val="0"/>
                <w:color w:val="000000"/>
                <w:sz w:val="17"/>
              </w:rPr>
              <w:t>款</w:t>
            </w:r>
          </w:p>
        </w:tc>
        <w:tc>
          <w:tcPr>
            <w:tcW w:w="320" w:type="dxa"/>
            <w:vMerge w:val="restart"/>
            <w:vAlign w:val="center"/>
          </w:tcPr>
          <w:p>
            <w:pPr>
              <w:jc w:val="center"/>
            </w:pPr>
            <w:r>
              <w:rPr>
                <w:rFonts w:ascii="宋体" w:hAnsi="宋体" w:eastAsia="宋体" w:cs="宋体"/>
                <w:b w:val="0"/>
                <w:i w:val="0"/>
                <w:color w:val="000000"/>
                <w:sz w:val="17"/>
              </w:rPr>
              <w:t>项</w:t>
            </w:r>
          </w:p>
        </w:tc>
        <w:tc>
          <w:tcPr>
            <w:tcW w:w="2960" w:type="dxa"/>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320" w:type="dxa"/>
            <w:vMerge w:val="continue"/>
            <w:vAlign w:val="center"/>
          </w:tcPr>
          <w:p/>
        </w:tc>
        <w:tc>
          <w:tcPr>
            <w:tcW w:w="320" w:type="dxa"/>
            <w:vMerge w:val="continue"/>
            <w:vAlign w:val="center"/>
          </w:tcPr>
          <w:p/>
        </w:tc>
        <w:tc>
          <w:tcPr>
            <w:tcW w:w="320" w:type="dxa"/>
            <w:vMerge w:val="continue"/>
            <w:vAlign w:val="center"/>
          </w:tcPr>
          <w:p/>
        </w:tc>
        <w:tc>
          <w:tcPr>
            <w:tcW w:w="2960" w:type="dxa"/>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val="0"/>
                <w:i w:val="0"/>
                <w:color w:val="000000"/>
                <w:sz w:val="17"/>
              </w:rPr>
              <w:t>2,279.12</w:t>
            </w:r>
          </w:p>
        </w:tc>
        <w:tc>
          <w:tcPr>
            <w:tcW w:w="1440" w:type="dxa"/>
            <w:vAlign w:val="center"/>
          </w:tcPr>
          <w:p>
            <w:pPr>
              <w:jc w:val="right"/>
            </w:pPr>
            <w:r>
              <w:rPr>
                <w:rFonts w:ascii="宋体" w:hAnsi="宋体" w:eastAsia="宋体" w:cs="宋体"/>
                <w:b w:val="0"/>
                <w:i w:val="0"/>
                <w:color w:val="000000"/>
                <w:sz w:val="17"/>
              </w:rPr>
              <w:t>2,273.44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5.68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201</w:t>
            </w:r>
          </w:p>
        </w:tc>
        <w:tc>
          <w:tcPr>
            <w:tcW w:w="296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26.17</w:t>
            </w:r>
          </w:p>
        </w:tc>
        <w:tc>
          <w:tcPr>
            <w:tcW w:w="1440" w:type="dxa"/>
            <w:vAlign w:val="center"/>
          </w:tcPr>
          <w:p>
            <w:pPr>
              <w:jc w:val="right"/>
            </w:pPr>
            <w:r>
              <w:rPr>
                <w:rFonts w:ascii="宋体" w:hAnsi="宋体" w:eastAsia="宋体" w:cs="宋体"/>
                <w:b w:val="0"/>
                <w:i w:val="0"/>
                <w:color w:val="000000"/>
                <w:sz w:val="17"/>
              </w:rPr>
              <w:t>24.79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1.38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20136</w:t>
            </w:r>
          </w:p>
        </w:tc>
        <w:tc>
          <w:tcPr>
            <w:tcW w:w="2960" w:type="dxa"/>
            <w:vAlign w:val="center"/>
          </w:tcPr>
          <w:p>
            <w:pPr>
              <w:jc w:val="left"/>
            </w:pPr>
            <w:r>
              <w:rPr>
                <w:rFonts w:ascii="宋体" w:hAnsi="宋体" w:eastAsia="宋体" w:cs="宋体"/>
                <w:b w:val="0"/>
                <w:i w:val="0"/>
                <w:color w:val="000000"/>
                <w:sz w:val="17"/>
              </w:rPr>
              <w:t>其他共产党事务支出</w:t>
            </w:r>
          </w:p>
        </w:tc>
        <w:tc>
          <w:tcPr>
            <w:tcW w:w="1440" w:type="dxa"/>
            <w:vAlign w:val="center"/>
          </w:tcPr>
          <w:p>
            <w:pPr>
              <w:jc w:val="right"/>
            </w:pPr>
            <w:r>
              <w:rPr>
                <w:rFonts w:ascii="宋体" w:hAnsi="宋体" w:eastAsia="宋体" w:cs="宋体"/>
                <w:b w:val="0"/>
                <w:i w:val="0"/>
                <w:color w:val="000000"/>
                <w:sz w:val="17"/>
              </w:rPr>
              <w:t>26.17</w:t>
            </w:r>
          </w:p>
        </w:tc>
        <w:tc>
          <w:tcPr>
            <w:tcW w:w="1440" w:type="dxa"/>
            <w:vAlign w:val="center"/>
          </w:tcPr>
          <w:p>
            <w:pPr>
              <w:jc w:val="right"/>
            </w:pPr>
            <w:r>
              <w:rPr>
                <w:rFonts w:ascii="宋体" w:hAnsi="宋体" w:eastAsia="宋体" w:cs="宋体"/>
                <w:b w:val="0"/>
                <w:i w:val="0"/>
                <w:color w:val="000000"/>
                <w:sz w:val="17"/>
              </w:rPr>
              <w:t>24.79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1.38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2013699</w:t>
            </w:r>
          </w:p>
        </w:tc>
        <w:tc>
          <w:tcPr>
            <w:tcW w:w="2960" w:type="dxa"/>
            <w:vAlign w:val="center"/>
          </w:tcPr>
          <w:p>
            <w:pPr>
              <w:jc w:val="left"/>
            </w:pPr>
            <w:r>
              <w:rPr>
                <w:rFonts w:ascii="宋体" w:hAnsi="宋体" w:eastAsia="宋体" w:cs="宋体"/>
                <w:b w:val="0"/>
                <w:i w:val="0"/>
                <w:color w:val="000000"/>
                <w:sz w:val="17"/>
              </w:rPr>
              <w:t>其他共产党事务支出</w:t>
            </w:r>
          </w:p>
        </w:tc>
        <w:tc>
          <w:tcPr>
            <w:tcW w:w="1440" w:type="dxa"/>
            <w:vAlign w:val="center"/>
          </w:tcPr>
          <w:p>
            <w:pPr>
              <w:jc w:val="right"/>
            </w:pPr>
            <w:r>
              <w:rPr>
                <w:rFonts w:ascii="宋体" w:hAnsi="宋体" w:eastAsia="宋体" w:cs="宋体"/>
                <w:b w:val="0"/>
                <w:i w:val="0"/>
                <w:color w:val="000000"/>
                <w:sz w:val="17"/>
              </w:rPr>
              <w:t>26.17</w:t>
            </w:r>
          </w:p>
        </w:tc>
        <w:tc>
          <w:tcPr>
            <w:tcW w:w="1440" w:type="dxa"/>
            <w:vAlign w:val="center"/>
          </w:tcPr>
          <w:p>
            <w:pPr>
              <w:jc w:val="right"/>
            </w:pPr>
            <w:r>
              <w:rPr>
                <w:rFonts w:ascii="宋体" w:hAnsi="宋体" w:eastAsia="宋体" w:cs="宋体"/>
                <w:b w:val="0"/>
                <w:i w:val="0"/>
                <w:color w:val="000000"/>
                <w:sz w:val="17"/>
              </w:rPr>
              <w:t>24.79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1.38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204</w:t>
            </w:r>
          </w:p>
        </w:tc>
        <w:tc>
          <w:tcPr>
            <w:tcW w:w="2960" w:type="dxa"/>
            <w:vAlign w:val="center"/>
          </w:tcPr>
          <w:p>
            <w:pPr>
              <w:jc w:val="left"/>
            </w:pPr>
            <w:r>
              <w:rPr>
                <w:rFonts w:ascii="宋体" w:hAnsi="宋体" w:eastAsia="宋体" w:cs="宋体"/>
                <w:b w:val="0"/>
                <w:i w:val="0"/>
                <w:color w:val="000000"/>
                <w:sz w:val="17"/>
              </w:rPr>
              <w:t>公共安全支出</w:t>
            </w:r>
          </w:p>
        </w:tc>
        <w:tc>
          <w:tcPr>
            <w:tcW w:w="1440" w:type="dxa"/>
            <w:vAlign w:val="center"/>
          </w:tcPr>
          <w:p>
            <w:pPr>
              <w:jc w:val="right"/>
            </w:pPr>
            <w:r>
              <w:rPr>
                <w:rFonts w:ascii="宋体" w:hAnsi="宋体" w:eastAsia="宋体" w:cs="宋体"/>
                <w:b w:val="0"/>
                <w:i w:val="0"/>
                <w:color w:val="000000"/>
                <w:sz w:val="17"/>
              </w:rPr>
              <w:t>2,145.06</w:t>
            </w:r>
          </w:p>
        </w:tc>
        <w:tc>
          <w:tcPr>
            <w:tcW w:w="1440" w:type="dxa"/>
            <w:vAlign w:val="center"/>
          </w:tcPr>
          <w:p>
            <w:pPr>
              <w:jc w:val="right"/>
            </w:pPr>
            <w:r>
              <w:rPr>
                <w:rFonts w:ascii="宋体" w:hAnsi="宋体" w:eastAsia="宋体" w:cs="宋体"/>
                <w:b w:val="0"/>
                <w:i w:val="0"/>
                <w:color w:val="000000"/>
                <w:sz w:val="17"/>
              </w:rPr>
              <w:t>2,140.76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4.31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20404</w:t>
            </w:r>
          </w:p>
        </w:tc>
        <w:tc>
          <w:tcPr>
            <w:tcW w:w="2960" w:type="dxa"/>
            <w:vAlign w:val="center"/>
          </w:tcPr>
          <w:p>
            <w:pPr>
              <w:jc w:val="left"/>
            </w:pPr>
            <w:r>
              <w:rPr>
                <w:rFonts w:ascii="宋体" w:hAnsi="宋体" w:eastAsia="宋体" w:cs="宋体"/>
                <w:b w:val="0"/>
                <w:i w:val="0"/>
                <w:color w:val="000000"/>
                <w:sz w:val="17"/>
              </w:rPr>
              <w:t>检察</w:t>
            </w:r>
          </w:p>
        </w:tc>
        <w:tc>
          <w:tcPr>
            <w:tcW w:w="1440" w:type="dxa"/>
            <w:vAlign w:val="center"/>
          </w:tcPr>
          <w:p>
            <w:pPr>
              <w:jc w:val="right"/>
            </w:pPr>
            <w:r>
              <w:rPr>
                <w:rFonts w:ascii="宋体" w:hAnsi="宋体" w:eastAsia="宋体" w:cs="宋体"/>
                <w:b w:val="0"/>
                <w:i w:val="0"/>
                <w:color w:val="000000"/>
                <w:sz w:val="17"/>
              </w:rPr>
              <w:t>2,145.06</w:t>
            </w:r>
          </w:p>
        </w:tc>
        <w:tc>
          <w:tcPr>
            <w:tcW w:w="1440" w:type="dxa"/>
            <w:vAlign w:val="center"/>
          </w:tcPr>
          <w:p>
            <w:pPr>
              <w:jc w:val="right"/>
            </w:pPr>
            <w:r>
              <w:rPr>
                <w:rFonts w:ascii="宋体" w:hAnsi="宋体" w:eastAsia="宋体" w:cs="宋体"/>
                <w:b w:val="0"/>
                <w:i w:val="0"/>
                <w:color w:val="000000"/>
                <w:sz w:val="17"/>
              </w:rPr>
              <w:t>2,140.76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4.31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2040401</w:t>
            </w:r>
          </w:p>
        </w:tc>
        <w:tc>
          <w:tcPr>
            <w:tcW w:w="296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1,617.29</w:t>
            </w:r>
          </w:p>
        </w:tc>
        <w:tc>
          <w:tcPr>
            <w:tcW w:w="1440" w:type="dxa"/>
            <w:vAlign w:val="center"/>
          </w:tcPr>
          <w:p>
            <w:pPr>
              <w:jc w:val="right"/>
            </w:pPr>
            <w:r>
              <w:rPr>
                <w:rFonts w:ascii="宋体" w:hAnsi="宋体" w:eastAsia="宋体" w:cs="宋体"/>
                <w:b w:val="0"/>
                <w:i w:val="0"/>
                <w:color w:val="000000"/>
                <w:sz w:val="17"/>
              </w:rPr>
              <w:t>1,612.99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4.31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2040402</w:t>
            </w:r>
          </w:p>
        </w:tc>
        <w:tc>
          <w:tcPr>
            <w:tcW w:w="296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181.38</w:t>
            </w:r>
          </w:p>
        </w:tc>
        <w:tc>
          <w:tcPr>
            <w:tcW w:w="1440" w:type="dxa"/>
            <w:vAlign w:val="center"/>
          </w:tcPr>
          <w:p>
            <w:pPr>
              <w:jc w:val="right"/>
            </w:pPr>
            <w:r>
              <w:rPr>
                <w:rFonts w:ascii="宋体" w:hAnsi="宋体" w:eastAsia="宋体" w:cs="宋体"/>
                <w:b w:val="0"/>
                <w:i w:val="0"/>
                <w:color w:val="000000"/>
                <w:sz w:val="17"/>
              </w:rPr>
              <w:t>181.38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2040499</w:t>
            </w:r>
          </w:p>
        </w:tc>
        <w:tc>
          <w:tcPr>
            <w:tcW w:w="2960" w:type="dxa"/>
            <w:vAlign w:val="center"/>
          </w:tcPr>
          <w:p>
            <w:pPr>
              <w:jc w:val="left"/>
            </w:pPr>
            <w:r>
              <w:rPr>
                <w:rFonts w:ascii="宋体" w:hAnsi="宋体" w:eastAsia="宋体" w:cs="宋体"/>
                <w:b w:val="0"/>
                <w:i w:val="0"/>
                <w:color w:val="000000"/>
                <w:sz w:val="17"/>
              </w:rPr>
              <w:t>其他检察支出</w:t>
            </w:r>
          </w:p>
        </w:tc>
        <w:tc>
          <w:tcPr>
            <w:tcW w:w="1440" w:type="dxa"/>
            <w:vAlign w:val="center"/>
          </w:tcPr>
          <w:p>
            <w:pPr>
              <w:jc w:val="right"/>
            </w:pPr>
            <w:r>
              <w:rPr>
                <w:rFonts w:ascii="宋体" w:hAnsi="宋体" w:eastAsia="宋体" w:cs="宋体"/>
                <w:b w:val="0"/>
                <w:i w:val="0"/>
                <w:color w:val="000000"/>
                <w:sz w:val="17"/>
              </w:rPr>
              <w:t>346.39</w:t>
            </w:r>
          </w:p>
        </w:tc>
        <w:tc>
          <w:tcPr>
            <w:tcW w:w="1440" w:type="dxa"/>
            <w:vAlign w:val="center"/>
          </w:tcPr>
          <w:p>
            <w:pPr>
              <w:jc w:val="right"/>
            </w:pPr>
            <w:r>
              <w:rPr>
                <w:rFonts w:ascii="宋体" w:hAnsi="宋体" w:eastAsia="宋体" w:cs="宋体"/>
                <w:b w:val="0"/>
                <w:i w:val="0"/>
                <w:color w:val="000000"/>
                <w:sz w:val="17"/>
              </w:rPr>
              <w:t>346.39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221</w:t>
            </w:r>
          </w:p>
        </w:tc>
        <w:tc>
          <w:tcPr>
            <w:tcW w:w="296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107.89</w:t>
            </w:r>
          </w:p>
        </w:tc>
        <w:tc>
          <w:tcPr>
            <w:tcW w:w="1440" w:type="dxa"/>
            <w:vAlign w:val="center"/>
          </w:tcPr>
          <w:p>
            <w:pPr>
              <w:jc w:val="right"/>
            </w:pPr>
            <w:r>
              <w:rPr>
                <w:rFonts w:ascii="宋体" w:hAnsi="宋体" w:eastAsia="宋体" w:cs="宋体"/>
                <w:b w:val="0"/>
                <w:i w:val="0"/>
                <w:color w:val="000000"/>
                <w:sz w:val="17"/>
              </w:rPr>
              <w:t>107.89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22102</w:t>
            </w:r>
          </w:p>
        </w:tc>
        <w:tc>
          <w:tcPr>
            <w:tcW w:w="296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107.89</w:t>
            </w:r>
          </w:p>
        </w:tc>
        <w:tc>
          <w:tcPr>
            <w:tcW w:w="1440" w:type="dxa"/>
            <w:vAlign w:val="center"/>
          </w:tcPr>
          <w:p>
            <w:pPr>
              <w:jc w:val="right"/>
            </w:pPr>
            <w:r>
              <w:rPr>
                <w:rFonts w:ascii="宋体" w:hAnsi="宋体" w:eastAsia="宋体" w:cs="宋体"/>
                <w:b w:val="0"/>
                <w:i w:val="0"/>
                <w:color w:val="000000"/>
                <w:sz w:val="17"/>
              </w:rPr>
              <w:t>107.89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6" w:hRule="exact"/>
          <w:jc w:val="center"/>
        </w:trPr>
        <w:tc>
          <w:tcPr>
            <w:tcW w:w="960" w:type="dxa"/>
            <w:gridSpan w:val="3"/>
            <w:vAlign w:val="center"/>
          </w:tcPr>
          <w:p>
            <w:pPr>
              <w:jc w:val="left"/>
            </w:pPr>
            <w:r>
              <w:rPr>
                <w:rFonts w:ascii="宋体" w:hAnsi="宋体" w:eastAsia="宋体" w:cs="宋体"/>
                <w:b w:val="0"/>
                <w:i w:val="0"/>
                <w:color w:val="000000"/>
                <w:sz w:val="17"/>
              </w:rPr>
              <w:t>2210201</w:t>
            </w:r>
          </w:p>
        </w:tc>
        <w:tc>
          <w:tcPr>
            <w:tcW w:w="296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107.89</w:t>
            </w:r>
          </w:p>
        </w:tc>
        <w:tc>
          <w:tcPr>
            <w:tcW w:w="1440" w:type="dxa"/>
            <w:vAlign w:val="center"/>
          </w:tcPr>
          <w:p>
            <w:pPr>
              <w:jc w:val="right"/>
            </w:pPr>
            <w:r>
              <w:rPr>
                <w:rFonts w:ascii="宋体" w:hAnsi="宋体" w:eastAsia="宋体" w:cs="宋体"/>
                <w:b w:val="0"/>
                <w:i w:val="0"/>
                <w:color w:val="000000"/>
                <w:sz w:val="17"/>
              </w:rPr>
              <w:t>107.89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13958" w:type="dxa"/>
            <w:gridSpan w:val="11"/>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注：本表反映本年度取得各项收入情况。</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134" w:right="1440" w:bottom="1134" w:left="1440" w:header="720" w:footer="720" w:gutter="0"/>
          <w:pgNumType w:fmt="decimal"/>
          <w:cols w:space="425" w:num="1"/>
          <w:docGrid w:type="lines" w:linePitch="312" w:charSpace="0"/>
        </w:sectPr>
      </w:pPr>
    </w:p>
    <w:p>
      <w:pPr>
        <w:pStyle w:val="3"/>
        <w:bidi w:val="0"/>
        <w:jc w:val="center"/>
        <w:outlineLvl w:val="1"/>
        <w:rPr>
          <w:rFonts w:hint="eastAsia" w:ascii="楷体" w:hAnsi="楷体" w:eastAsia="楷体" w:cs="楷体"/>
          <w:b w:val="0"/>
          <w:bCs/>
          <w:lang w:val="en-US" w:eastAsia="zh-CN"/>
        </w:rPr>
      </w:pPr>
      <w:bookmarkStart w:id="12" w:name="_Toc_1_2_0000000039"/>
      <w:r>
        <w:rPr>
          <w:rFonts w:hint="eastAsia" w:ascii="楷体" w:hAnsi="楷体" w:eastAsia="楷体" w:cs="楷体"/>
          <w:b w:val="0"/>
          <w:bCs/>
          <w:lang w:val="en-US" w:eastAsia="zh-CN"/>
        </w:rPr>
        <w:t>2023年度支出决算表（分单位）</w:t>
      </w:r>
      <w:bookmarkEnd w:id="12"/>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部门：庆元县人民检察院（汇总）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20"/>
        <w:gridCol w:w="1640"/>
        <w:gridCol w:w="1640"/>
        <w:gridCol w:w="1640"/>
        <w:gridCol w:w="1640"/>
        <w:gridCol w:w="1640"/>
        <w:gridCol w:w="16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5" w:hRule="exact"/>
          <w:jc w:val="center"/>
        </w:trPr>
        <w:tc>
          <w:tcPr>
            <w:tcW w:w="4120" w:type="dxa"/>
            <w:vMerge w:val="restart"/>
            <w:vAlign w:val="center"/>
          </w:tcPr>
          <w:p>
            <w:pPr>
              <w:jc w:val="center"/>
            </w:pPr>
            <w:r>
              <w:rPr>
                <w:rFonts w:ascii="宋体" w:hAnsi="宋体" w:eastAsia="宋体" w:cs="宋体"/>
                <w:b w:val="0"/>
                <w:i w:val="0"/>
                <w:color w:val="000000"/>
                <w:sz w:val="19"/>
              </w:rPr>
              <w:t>单位名称</w:t>
            </w:r>
          </w:p>
        </w:tc>
        <w:tc>
          <w:tcPr>
            <w:tcW w:w="1640" w:type="dxa"/>
            <w:vMerge w:val="restart"/>
            <w:vAlign w:val="center"/>
          </w:tcPr>
          <w:p>
            <w:pPr>
              <w:jc w:val="center"/>
            </w:pPr>
            <w:r>
              <w:rPr>
                <w:rFonts w:ascii="宋体" w:hAnsi="宋体" w:eastAsia="宋体" w:cs="宋体"/>
                <w:b w:val="0"/>
                <w:i w:val="0"/>
                <w:color w:val="000000"/>
                <w:sz w:val="19"/>
              </w:rPr>
              <w:t>本年支出合计</w:t>
            </w:r>
          </w:p>
        </w:tc>
        <w:tc>
          <w:tcPr>
            <w:tcW w:w="1640" w:type="dxa"/>
            <w:vMerge w:val="restart"/>
            <w:vAlign w:val="center"/>
          </w:tcPr>
          <w:p>
            <w:pPr>
              <w:jc w:val="center"/>
            </w:pPr>
            <w:r>
              <w:rPr>
                <w:rFonts w:ascii="宋体" w:hAnsi="宋体" w:eastAsia="宋体" w:cs="宋体"/>
                <w:b w:val="0"/>
                <w:i w:val="0"/>
                <w:color w:val="000000"/>
                <w:sz w:val="19"/>
              </w:rPr>
              <w:t>基本支出</w:t>
            </w:r>
          </w:p>
        </w:tc>
        <w:tc>
          <w:tcPr>
            <w:tcW w:w="1640" w:type="dxa"/>
            <w:vMerge w:val="restart"/>
            <w:vAlign w:val="center"/>
          </w:tcPr>
          <w:p>
            <w:pPr>
              <w:jc w:val="center"/>
            </w:pPr>
            <w:r>
              <w:rPr>
                <w:rFonts w:ascii="宋体" w:hAnsi="宋体" w:eastAsia="宋体" w:cs="宋体"/>
                <w:b w:val="0"/>
                <w:i w:val="0"/>
                <w:color w:val="000000"/>
                <w:sz w:val="19"/>
              </w:rPr>
              <w:t>项目支出</w:t>
            </w:r>
          </w:p>
        </w:tc>
        <w:tc>
          <w:tcPr>
            <w:tcW w:w="1640" w:type="dxa"/>
            <w:vMerge w:val="restart"/>
            <w:vAlign w:val="center"/>
          </w:tcPr>
          <w:p>
            <w:pPr>
              <w:jc w:val="center"/>
            </w:pPr>
            <w:r>
              <w:rPr>
                <w:rFonts w:ascii="宋体" w:hAnsi="宋体" w:eastAsia="宋体" w:cs="宋体"/>
                <w:b w:val="0"/>
                <w:i w:val="0"/>
                <w:color w:val="000000"/>
                <w:sz w:val="19"/>
              </w:rPr>
              <w:t>上缴上级支出</w:t>
            </w:r>
          </w:p>
        </w:tc>
        <w:tc>
          <w:tcPr>
            <w:tcW w:w="1640" w:type="dxa"/>
            <w:vMerge w:val="restart"/>
            <w:vAlign w:val="center"/>
          </w:tcPr>
          <w:p>
            <w:pPr>
              <w:jc w:val="center"/>
            </w:pPr>
            <w:r>
              <w:rPr>
                <w:rFonts w:ascii="宋体" w:hAnsi="宋体" w:eastAsia="宋体" w:cs="宋体"/>
                <w:b w:val="0"/>
                <w:i w:val="0"/>
                <w:color w:val="000000"/>
                <w:sz w:val="19"/>
              </w:rPr>
              <w:t>经营支出</w:t>
            </w:r>
          </w:p>
        </w:tc>
        <w:tc>
          <w:tcPr>
            <w:tcW w:w="163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5" w:hRule="exact"/>
          <w:jc w:val="center"/>
        </w:trPr>
        <w:tc>
          <w:tcPr>
            <w:tcW w:w="4120" w:type="dxa"/>
            <w:vMerge w:val="continue"/>
            <w:vAlign w:val="center"/>
          </w:tcPr>
          <w:p/>
        </w:tc>
        <w:tc>
          <w:tcPr>
            <w:tcW w:w="1640" w:type="dxa"/>
            <w:vMerge w:val="continue"/>
            <w:vAlign w:val="center"/>
          </w:tcPr>
          <w:p/>
        </w:tc>
        <w:tc>
          <w:tcPr>
            <w:tcW w:w="1640" w:type="dxa"/>
            <w:vMerge w:val="continue"/>
            <w:vAlign w:val="center"/>
          </w:tcPr>
          <w:p/>
        </w:tc>
        <w:tc>
          <w:tcPr>
            <w:tcW w:w="1640" w:type="dxa"/>
            <w:vMerge w:val="continue"/>
            <w:vAlign w:val="center"/>
          </w:tcPr>
          <w:p/>
        </w:tc>
        <w:tc>
          <w:tcPr>
            <w:tcW w:w="1640" w:type="dxa"/>
            <w:vMerge w:val="continue"/>
            <w:vAlign w:val="center"/>
          </w:tcPr>
          <w:p/>
        </w:tc>
        <w:tc>
          <w:tcPr>
            <w:tcW w:w="1640" w:type="dxa"/>
            <w:vMerge w:val="continue"/>
            <w:vAlign w:val="center"/>
          </w:tcPr>
          <w:p/>
        </w:tc>
        <w:tc>
          <w:tcPr>
            <w:tcW w:w="16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0" w:hRule="exact"/>
          <w:jc w:val="center"/>
        </w:trPr>
        <w:tc>
          <w:tcPr>
            <w:tcW w:w="4120" w:type="dxa"/>
            <w:vAlign w:val="center"/>
          </w:tcPr>
          <w:p>
            <w:pPr>
              <w:jc w:val="center"/>
            </w:pPr>
            <w:r>
              <w:rPr>
                <w:rFonts w:ascii="宋体" w:hAnsi="宋体" w:eastAsia="宋体" w:cs="宋体"/>
                <w:b w:val="0"/>
                <w:i w:val="0"/>
                <w:color w:val="000000"/>
                <w:sz w:val="19"/>
              </w:rPr>
              <w:t>栏次</w:t>
            </w:r>
          </w:p>
        </w:tc>
        <w:tc>
          <w:tcPr>
            <w:tcW w:w="1640" w:type="dxa"/>
            <w:vAlign w:val="center"/>
          </w:tcPr>
          <w:p>
            <w:pPr>
              <w:jc w:val="center"/>
            </w:pPr>
            <w:r>
              <w:rPr>
                <w:rFonts w:ascii="宋体" w:hAnsi="宋体" w:eastAsia="宋体" w:cs="宋体"/>
                <w:b w:val="0"/>
                <w:i w:val="0"/>
                <w:color w:val="000000"/>
                <w:sz w:val="19"/>
              </w:rPr>
              <w:t>1</w:t>
            </w:r>
          </w:p>
        </w:tc>
        <w:tc>
          <w:tcPr>
            <w:tcW w:w="1640" w:type="dxa"/>
            <w:vAlign w:val="center"/>
          </w:tcPr>
          <w:p>
            <w:pPr>
              <w:jc w:val="center"/>
            </w:pPr>
            <w:r>
              <w:rPr>
                <w:rFonts w:ascii="宋体" w:hAnsi="宋体" w:eastAsia="宋体" w:cs="宋体"/>
                <w:b w:val="0"/>
                <w:i w:val="0"/>
                <w:color w:val="000000"/>
                <w:sz w:val="19"/>
              </w:rPr>
              <w:t>2</w:t>
            </w:r>
          </w:p>
        </w:tc>
        <w:tc>
          <w:tcPr>
            <w:tcW w:w="1640" w:type="dxa"/>
            <w:vAlign w:val="center"/>
          </w:tcPr>
          <w:p>
            <w:pPr>
              <w:jc w:val="center"/>
            </w:pPr>
            <w:r>
              <w:rPr>
                <w:rFonts w:ascii="宋体" w:hAnsi="宋体" w:eastAsia="宋体" w:cs="宋体"/>
                <w:b w:val="0"/>
                <w:i w:val="0"/>
                <w:color w:val="000000"/>
                <w:sz w:val="19"/>
              </w:rPr>
              <w:t>3</w:t>
            </w:r>
          </w:p>
        </w:tc>
        <w:tc>
          <w:tcPr>
            <w:tcW w:w="1640" w:type="dxa"/>
            <w:vAlign w:val="center"/>
          </w:tcPr>
          <w:p>
            <w:pPr>
              <w:jc w:val="center"/>
            </w:pPr>
            <w:r>
              <w:rPr>
                <w:rFonts w:ascii="宋体" w:hAnsi="宋体" w:eastAsia="宋体" w:cs="宋体"/>
                <w:b w:val="0"/>
                <w:i w:val="0"/>
                <w:color w:val="000000"/>
                <w:sz w:val="19"/>
              </w:rPr>
              <w:t>4</w:t>
            </w:r>
          </w:p>
        </w:tc>
        <w:tc>
          <w:tcPr>
            <w:tcW w:w="1640" w:type="dxa"/>
            <w:vAlign w:val="center"/>
          </w:tcPr>
          <w:p>
            <w:pPr>
              <w:jc w:val="center"/>
            </w:pPr>
            <w:r>
              <w:rPr>
                <w:rFonts w:ascii="宋体" w:hAnsi="宋体" w:eastAsia="宋体" w:cs="宋体"/>
                <w:b w:val="0"/>
                <w:i w:val="0"/>
                <w:color w:val="000000"/>
                <w:sz w:val="19"/>
              </w:rPr>
              <w:t>5</w:t>
            </w:r>
          </w:p>
        </w:tc>
        <w:tc>
          <w:tcPr>
            <w:tcW w:w="163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0" w:hRule="exact"/>
          <w:jc w:val="center"/>
        </w:trPr>
        <w:tc>
          <w:tcPr>
            <w:tcW w:w="4120" w:type="dxa"/>
            <w:vAlign w:val="center"/>
          </w:tcPr>
          <w:p>
            <w:pPr>
              <w:jc w:val="center"/>
            </w:pPr>
            <w:r>
              <w:rPr>
                <w:rFonts w:ascii="宋体" w:hAnsi="宋体" w:eastAsia="宋体" w:cs="宋体"/>
                <w:b w:val="0"/>
                <w:i w:val="0"/>
                <w:color w:val="000000"/>
                <w:sz w:val="19"/>
              </w:rPr>
              <w:t>合计</w:t>
            </w:r>
          </w:p>
        </w:tc>
        <w:tc>
          <w:tcPr>
            <w:tcW w:w="1640" w:type="dxa"/>
            <w:vAlign w:val="center"/>
          </w:tcPr>
          <w:p>
            <w:pPr>
              <w:jc w:val="right"/>
            </w:pPr>
            <w:r>
              <w:rPr>
                <w:rFonts w:ascii="宋体" w:hAnsi="宋体" w:eastAsia="宋体" w:cs="宋体"/>
                <w:b w:val="0"/>
                <w:i w:val="0"/>
                <w:color w:val="000000"/>
                <w:sz w:val="19"/>
              </w:rPr>
              <w:t>2,278.18</w:t>
            </w:r>
          </w:p>
        </w:tc>
        <w:tc>
          <w:tcPr>
            <w:tcW w:w="1640" w:type="dxa"/>
            <w:vAlign w:val="center"/>
          </w:tcPr>
          <w:p>
            <w:pPr>
              <w:jc w:val="right"/>
            </w:pPr>
            <w:r>
              <w:rPr>
                <w:rFonts w:ascii="宋体" w:hAnsi="宋体" w:eastAsia="宋体" w:cs="宋体"/>
                <w:b w:val="0"/>
                <w:i w:val="0"/>
                <w:color w:val="000000"/>
                <w:sz w:val="19"/>
              </w:rPr>
              <w:t>1,723.95</w:t>
            </w:r>
          </w:p>
        </w:tc>
        <w:tc>
          <w:tcPr>
            <w:tcW w:w="1640" w:type="dxa"/>
            <w:vAlign w:val="center"/>
          </w:tcPr>
          <w:p>
            <w:pPr>
              <w:jc w:val="right"/>
            </w:pPr>
            <w:r>
              <w:rPr>
                <w:rFonts w:ascii="宋体" w:hAnsi="宋体" w:eastAsia="宋体" w:cs="宋体"/>
                <w:b w:val="0"/>
                <w:i w:val="0"/>
                <w:color w:val="000000"/>
                <w:sz w:val="19"/>
              </w:rPr>
              <w:t>554.23</w:t>
            </w:r>
          </w:p>
        </w:tc>
        <w:tc>
          <w:tcPr>
            <w:tcW w:w="1640" w:type="dxa"/>
            <w:vAlign w:val="center"/>
          </w:tcPr>
          <w:p>
            <w:pPr>
              <w:jc w:val="right"/>
            </w:pPr>
            <w:r>
              <w:rPr>
                <w:rFonts w:ascii="宋体" w:hAnsi="宋体" w:eastAsia="宋体" w:cs="宋体"/>
                <w:b w:val="0"/>
                <w:i w:val="0"/>
                <w:color w:val="000000"/>
                <w:sz w:val="19"/>
              </w:rPr>
              <w:t>0.00</w:t>
            </w:r>
          </w:p>
        </w:tc>
        <w:tc>
          <w:tcPr>
            <w:tcW w:w="1640" w:type="dxa"/>
            <w:vAlign w:val="center"/>
          </w:tcPr>
          <w:p>
            <w:pPr>
              <w:jc w:val="right"/>
            </w:pPr>
            <w:r>
              <w:rPr>
                <w:rFonts w:ascii="宋体" w:hAnsi="宋体" w:eastAsia="宋体" w:cs="宋体"/>
                <w:b w:val="0"/>
                <w:i w:val="0"/>
                <w:color w:val="000000"/>
                <w:sz w:val="19"/>
              </w:rPr>
              <w:t>0.00</w:t>
            </w:r>
          </w:p>
        </w:tc>
        <w:tc>
          <w:tcPr>
            <w:tcW w:w="163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5" w:hRule="exact"/>
          <w:jc w:val="center"/>
        </w:trPr>
        <w:tc>
          <w:tcPr>
            <w:tcW w:w="4120" w:type="dxa"/>
            <w:vAlign w:val="center"/>
          </w:tcPr>
          <w:p>
            <w:pPr>
              <w:jc w:val="left"/>
            </w:pPr>
            <w:r>
              <w:rPr>
                <w:rFonts w:ascii="宋体" w:hAnsi="宋体" w:eastAsia="宋体" w:cs="宋体"/>
                <w:b w:val="0"/>
                <w:i w:val="0"/>
                <w:color w:val="000000"/>
                <w:sz w:val="19"/>
              </w:rPr>
              <w:t>庆元县人民检察院</w:t>
            </w:r>
          </w:p>
        </w:tc>
        <w:tc>
          <w:tcPr>
            <w:tcW w:w="1640" w:type="dxa"/>
            <w:vAlign w:val="center"/>
          </w:tcPr>
          <w:p>
            <w:pPr>
              <w:jc w:val="right"/>
            </w:pPr>
            <w:r>
              <w:rPr>
                <w:rFonts w:ascii="宋体" w:hAnsi="宋体" w:eastAsia="宋体" w:cs="宋体"/>
                <w:b w:val="0"/>
                <w:i w:val="0"/>
                <w:color w:val="000000"/>
                <w:sz w:val="19"/>
              </w:rPr>
              <w:t>2,278.18</w:t>
            </w:r>
          </w:p>
        </w:tc>
        <w:tc>
          <w:tcPr>
            <w:tcW w:w="1640" w:type="dxa"/>
            <w:vAlign w:val="center"/>
          </w:tcPr>
          <w:p>
            <w:pPr>
              <w:jc w:val="right"/>
            </w:pPr>
            <w:r>
              <w:rPr>
                <w:rFonts w:ascii="宋体" w:hAnsi="宋体" w:eastAsia="宋体" w:cs="宋体"/>
                <w:b w:val="0"/>
                <w:i w:val="0"/>
                <w:color w:val="000000"/>
                <w:sz w:val="19"/>
              </w:rPr>
              <w:t>1,723.95</w:t>
            </w:r>
          </w:p>
        </w:tc>
        <w:tc>
          <w:tcPr>
            <w:tcW w:w="1640" w:type="dxa"/>
            <w:vAlign w:val="center"/>
          </w:tcPr>
          <w:p>
            <w:pPr>
              <w:jc w:val="right"/>
            </w:pPr>
            <w:r>
              <w:rPr>
                <w:rFonts w:ascii="宋体" w:hAnsi="宋体" w:eastAsia="宋体" w:cs="宋体"/>
                <w:b w:val="0"/>
                <w:i w:val="0"/>
                <w:color w:val="000000"/>
                <w:sz w:val="19"/>
              </w:rPr>
              <w:t>554.23</w:t>
            </w:r>
          </w:p>
        </w:tc>
        <w:tc>
          <w:tcPr>
            <w:tcW w:w="1640" w:type="dxa"/>
            <w:vAlign w:val="center"/>
          </w:tcPr>
          <w:p>
            <w:pPr>
              <w:jc w:val="right"/>
            </w:pPr>
            <w:r>
              <w:rPr>
                <w:rFonts w:ascii="宋体" w:hAnsi="宋体" w:eastAsia="宋体" w:cs="宋体"/>
                <w:b w:val="0"/>
                <w:i w:val="0"/>
                <w:color w:val="000000"/>
                <w:sz w:val="19"/>
              </w:rPr>
              <w:t>0.00</w:t>
            </w:r>
          </w:p>
        </w:tc>
        <w:tc>
          <w:tcPr>
            <w:tcW w:w="1640" w:type="dxa"/>
            <w:vAlign w:val="center"/>
          </w:tcPr>
          <w:p>
            <w:pPr>
              <w:jc w:val="right"/>
            </w:pPr>
            <w:r>
              <w:rPr>
                <w:rFonts w:ascii="宋体" w:hAnsi="宋体" w:eastAsia="宋体" w:cs="宋体"/>
                <w:b w:val="0"/>
                <w:i w:val="0"/>
                <w:color w:val="000000"/>
                <w:sz w:val="19"/>
              </w:rPr>
              <w:t>0.00</w:t>
            </w:r>
          </w:p>
        </w:tc>
        <w:tc>
          <w:tcPr>
            <w:tcW w:w="163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0" w:hRule="exact"/>
          <w:jc w:val="center"/>
        </w:trPr>
        <w:tc>
          <w:tcPr>
            <w:tcW w:w="1395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注：本表反映本年度各项支出情况。</w:t>
            </w:r>
          </w:p>
        </w:tc>
      </w:tr>
    </w:tbl>
    <w:p>
      <w:pPr>
        <w:snapToGrid w:val="0"/>
        <w:spacing w:before="0" w:after="0" w:line="0" w:lineRule="auto"/>
        <w:sectPr>
          <w:pgSz w:w="16838" w:h="11906" w:orient="landscape"/>
          <w:pgMar w:top="1134" w:right="1440" w:bottom="1134" w:left="1440" w:header="720" w:footer="720" w:gutter="0"/>
          <w:pgNumType w:fmt="decimal"/>
          <w:cols w:space="425" w:num="1"/>
          <w:docGrid w:type="lines" w:linePitch="312" w:charSpace="0"/>
        </w:sectPr>
      </w:pPr>
      <w:r>
        <w:rPr>
          <w:sz w:val="8"/>
        </w:rPr>
        <w:t xml:space="preserve"> </w:t>
      </w:r>
    </w:p>
    <w:p>
      <w:pPr>
        <w:pStyle w:val="3"/>
        <w:bidi w:val="0"/>
        <w:jc w:val="center"/>
        <w:rPr>
          <w:rFonts w:hint="eastAsia" w:ascii="楷体" w:hAnsi="楷体" w:eastAsia="楷体" w:cs="楷体"/>
          <w:color w:val="000000"/>
          <w:kern w:val="0"/>
          <w:szCs w:val="32"/>
          <w:lang w:val="en-US" w:eastAsia="zh-CN"/>
        </w:rPr>
      </w:pPr>
      <w:bookmarkStart w:id="13" w:name="_Toc_1_2_0000000040"/>
      <w:r>
        <w:rPr>
          <w:rFonts w:hint="eastAsia" w:ascii="楷体" w:hAnsi="楷体" w:eastAsia="楷体" w:cs="楷体"/>
          <w:b w:val="0"/>
          <w:bCs/>
          <w:lang w:val="en-US" w:eastAsia="zh-CN"/>
        </w:rPr>
        <w:t>2023年度支出决算表（分科目）</w:t>
      </w:r>
      <w:bookmarkEnd w:id="13"/>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部门：庆元县人民检察院（汇总）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00"/>
        <w:gridCol w:w="300"/>
        <w:gridCol w:w="3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4380" w:type="dxa"/>
            <w:gridSpan w:val="4"/>
            <w:vAlign w:val="center"/>
          </w:tcPr>
          <w:p>
            <w:pPr>
              <w:jc w:val="center"/>
            </w:pPr>
            <w:r>
              <w:rPr>
                <w:rFonts w:ascii="宋体" w:hAnsi="宋体" w:eastAsia="宋体" w:cs="宋体"/>
                <w:b w:val="0"/>
                <w:i w:val="0"/>
                <w:color w:val="000000"/>
                <w:sz w:val="19"/>
              </w:rPr>
              <w:t>项   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Merge w:val="restart"/>
            <w:vAlign w:val="center"/>
          </w:tcPr>
          <w:p>
            <w:pPr>
              <w:jc w:val="center"/>
            </w:pPr>
            <w:r>
              <w:rPr>
                <w:rFonts w:ascii="宋体" w:hAnsi="宋体" w:eastAsia="宋体" w:cs="宋体"/>
                <w:b w:val="0"/>
                <w:i w:val="0"/>
                <w:color w:val="000000"/>
                <w:sz w:val="19"/>
              </w:rPr>
              <w:t>支出功能分类科目编码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类</w:t>
            </w:r>
          </w:p>
        </w:tc>
        <w:tc>
          <w:tcPr>
            <w:tcW w:w="300" w:type="dxa"/>
            <w:vMerge w:val="restart"/>
            <w:vAlign w:val="center"/>
          </w:tcPr>
          <w:p>
            <w:pPr>
              <w:jc w:val="center"/>
            </w:pPr>
            <w:r>
              <w:rPr>
                <w:rFonts w:ascii="宋体" w:hAnsi="宋体" w:eastAsia="宋体" w:cs="宋体"/>
                <w:b w:val="0"/>
                <w:i w:val="0"/>
                <w:color w:val="000000"/>
                <w:sz w:val="19"/>
              </w:rPr>
              <w:t>款</w:t>
            </w:r>
          </w:p>
        </w:tc>
        <w:tc>
          <w:tcPr>
            <w:tcW w:w="300" w:type="dxa"/>
            <w:vMerge w:val="restart"/>
            <w:vAlign w:val="center"/>
          </w:tcPr>
          <w:p>
            <w:pPr>
              <w:jc w:val="center"/>
            </w:pPr>
            <w:r>
              <w:rPr>
                <w:rFonts w:ascii="宋体" w:hAnsi="宋体" w:eastAsia="宋体" w:cs="宋体"/>
                <w:b w:val="0"/>
                <w:i w:val="0"/>
                <w:color w:val="000000"/>
                <w:sz w:val="19"/>
              </w:rPr>
              <w:t>项</w:t>
            </w:r>
          </w:p>
        </w:tc>
        <w:tc>
          <w:tcPr>
            <w:tcW w:w="3480" w:type="dxa"/>
            <w:vAlign w:val="center"/>
          </w:tcPr>
          <w:p>
            <w:pPr>
              <w:jc w:val="center"/>
            </w:pPr>
            <w:r>
              <w:rPr>
                <w:rFonts w:ascii="宋体" w:hAnsi="宋体" w:eastAsia="宋体" w:cs="宋体"/>
                <w:b w:val="0"/>
                <w:i w:val="0"/>
                <w:color w:val="000000"/>
                <w:sz w:val="19"/>
              </w:rPr>
              <w:t>栏   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00" w:type="dxa"/>
            <w:vMerge w:val="continue"/>
            <w:vAlign w:val="center"/>
          </w:tcPr>
          <w:p/>
        </w:tc>
        <w:tc>
          <w:tcPr>
            <w:tcW w:w="300" w:type="dxa"/>
            <w:vMerge w:val="continue"/>
            <w:vAlign w:val="center"/>
          </w:tcPr>
          <w:p/>
        </w:tc>
        <w:tc>
          <w:tcPr>
            <w:tcW w:w="3480" w:type="dxa"/>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val="0"/>
                <w:i w:val="0"/>
                <w:color w:val="000000"/>
                <w:sz w:val="19"/>
              </w:rPr>
              <w:t>2,278.18</w:t>
            </w:r>
          </w:p>
        </w:tc>
        <w:tc>
          <w:tcPr>
            <w:tcW w:w="1600" w:type="dxa"/>
            <w:vAlign w:val="center"/>
          </w:tcPr>
          <w:p>
            <w:pPr>
              <w:jc w:val="right"/>
            </w:pPr>
            <w:r>
              <w:rPr>
                <w:rFonts w:ascii="宋体" w:hAnsi="宋体" w:eastAsia="宋体" w:cs="宋体"/>
                <w:b w:val="0"/>
                <w:i w:val="0"/>
                <w:color w:val="000000"/>
                <w:sz w:val="19"/>
              </w:rPr>
              <w:t>1,723.95</w:t>
            </w:r>
          </w:p>
        </w:tc>
        <w:tc>
          <w:tcPr>
            <w:tcW w:w="1600" w:type="dxa"/>
            <w:vAlign w:val="center"/>
          </w:tcPr>
          <w:p>
            <w:pPr>
              <w:jc w:val="right"/>
            </w:pPr>
            <w:r>
              <w:rPr>
                <w:rFonts w:ascii="宋体" w:hAnsi="宋体" w:eastAsia="宋体" w:cs="宋体"/>
                <w:b w:val="0"/>
                <w:i w:val="0"/>
                <w:color w:val="000000"/>
                <w:sz w:val="19"/>
              </w:rPr>
              <w:t>554.23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26.46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26.46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20136</w:t>
            </w:r>
          </w:p>
        </w:tc>
        <w:tc>
          <w:tcPr>
            <w:tcW w:w="3480" w:type="dxa"/>
            <w:vAlign w:val="center"/>
          </w:tcPr>
          <w:p>
            <w:pPr>
              <w:jc w:val="left"/>
            </w:pPr>
            <w:r>
              <w:rPr>
                <w:rFonts w:ascii="宋体" w:hAnsi="宋体" w:eastAsia="宋体" w:cs="宋体"/>
                <w:b w:val="0"/>
                <w:i w:val="0"/>
                <w:color w:val="000000"/>
                <w:sz w:val="19"/>
              </w:rPr>
              <w:t>其他共产党事务支出</w:t>
            </w:r>
          </w:p>
        </w:tc>
        <w:tc>
          <w:tcPr>
            <w:tcW w:w="1600" w:type="dxa"/>
            <w:vAlign w:val="center"/>
          </w:tcPr>
          <w:p>
            <w:pPr>
              <w:jc w:val="right"/>
            </w:pPr>
            <w:r>
              <w:rPr>
                <w:rFonts w:ascii="宋体" w:hAnsi="宋体" w:eastAsia="宋体" w:cs="宋体"/>
                <w:b w:val="0"/>
                <w:i w:val="0"/>
                <w:color w:val="000000"/>
                <w:sz w:val="19"/>
              </w:rPr>
              <w:t>26.46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26.46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2013699</w:t>
            </w:r>
          </w:p>
        </w:tc>
        <w:tc>
          <w:tcPr>
            <w:tcW w:w="3480" w:type="dxa"/>
            <w:vAlign w:val="center"/>
          </w:tcPr>
          <w:p>
            <w:pPr>
              <w:jc w:val="left"/>
            </w:pPr>
            <w:r>
              <w:rPr>
                <w:rFonts w:ascii="宋体" w:hAnsi="宋体" w:eastAsia="宋体" w:cs="宋体"/>
                <w:b w:val="0"/>
                <w:i w:val="0"/>
                <w:color w:val="000000"/>
                <w:sz w:val="19"/>
              </w:rPr>
              <w:t>其他共产党事务支出</w:t>
            </w:r>
          </w:p>
        </w:tc>
        <w:tc>
          <w:tcPr>
            <w:tcW w:w="1600" w:type="dxa"/>
            <w:vAlign w:val="center"/>
          </w:tcPr>
          <w:p>
            <w:pPr>
              <w:jc w:val="right"/>
            </w:pPr>
            <w:r>
              <w:rPr>
                <w:rFonts w:ascii="宋体" w:hAnsi="宋体" w:eastAsia="宋体" w:cs="宋体"/>
                <w:b w:val="0"/>
                <w:i w:val="0"/>
                <w:color w:val="000000"/>
                <w:sz w:val="19"/>
              </w:rPr>
              <w:t>26.46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26.46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204</w:t>
            </w:r>
          </w:p>
        </w:tc>
        <w:tc>
          <w:tcPr>
            <w:tcW w:w="3480" w:type="dxa"/>
            <w:vAlign w:val="center"/>
          </w:tcPr>
          <w:p>
            <w:pPr>
              <w:jc w:val="left"/>
            </w:pPr>
            <w:r>
              <w:rPr>
                <w:rFonts w:ascii="宋体" w:hAnsi="宋体" w:eastAsia="宋体" w:cs="宋体"/>
                <w:b w:val="0"/>
                <w:i w:val="0"/>
                <w:color w:val="000000"/>
                <w:sz w:val="19"/>
              </w:rPr>
              <w:t>公共安全支出</w:t>
            </w:r>
          </w:p>
        </w:tc>
        <w:tc>
          <w:tcPr>
            <w:tcW w:w="1600" w:type="dxa"/>
            <w:vAlign w:val="center"/>
          </w:tcPr>
          <w:p>
            <w:pPr>
              <w:jc w:val="right"/>
            </w:pPr>
            <w:r>
              <w:rPr>
                <w:rFonts w:ascii="宋体" w:hAnsi="宋体" w:eastAsia="宋体" w:cs="宋体"/>
                <w:b w:val="0"/>
                <w:i w:val="0"/>
                <w:color w:val="000000"/>
                <w:sz w:val="19"/>
              </w:rPr>
              <w:t>2,143.84</w:t>
            </w:r>
          </w:p>
        </w:tc>
        <w:tc>
          <w:tcPr>
            <w:tcW w:w="1600" w:type="dxa"/>
            <w:vAlign w:val="center"/>
          </w:tcPr>
          <w:p>
            <w:pPr>
              <w:jc w:val="right"/>
            </w:pPr>
            <w:r>
              <w:rPr>
                <w:rFonts w:ascii="宋体" w:hAnsi="宋体" w:eastAsia="宋体" w:cs="宋体"/>
                <w:b w:val="0"/>
                <w:i w:val="0"/>
                <w:color w:val="000000"/>
                <w:sz w:val="19"/>
              </w:rPr>
              <w:t>1,616.06</w:t>
            </w:r>
          </w:p>
        </w:tc>
        <w:tc>
          <w:tcPr>
            <w:tcW w:w="1600" w:type="dxa"/>
            <w:vAlign w:val="center"/>
          </w:tcPr>
          <w:p>
            <w:pPr>
              <w:jc w:val="right"/>
            </w:pPr>
            <w:r>
              <w:rPr>
                <w:rFonts w:ascii="宋体" w:hAnsi="宋体" w:eastAsia="宋体" w:cs="宋体"/>
                <w:b w:val="0"/>
                <w:i w:val="0"/>
                <w:color w:val="000000"/>
                <w:sz w:val="19"/>
              </w:rPr>
              <w:t>527.77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20404</w:t>
            </w:r>
          </w:p>
        </w:tc>
        <w:tc>
          <w:tcPr>
            <w:tcW w:w="3480" w:type="dxa"/>
            <w:vAlign w:val="center"/>
          </w:tcPr>
          <w:p>
            <w:pPr>
              <w:jc w:val="left"/>
            </w:pPr>
            <w:r>
              <w:rPr>
                <w:rFonts w:ascii="宋体" w:hAnsi="宋体" w:eastAsia="宋体" w:cs="宋体"/>
                <w:b w:val="0"/>
                <w:i w:val="0"/>
                <w:color w:val="000000"/>
                <w:sz w:val="19"/>
              </w:rPr>
              <w:t>检察</w:t>
            </w:r>
          </w:p>
        </w:tc>
        <w:tc>
          <w:tcPr>
            <w:tcW w:w="1600" w:type="dxa"/>
            <w:vAlign w:val="center"/>
          </w:tcPr>
          <w:p>
            <w:pPr>
              <w:jc w:val="right"/>
            </w:pPr>
            <w:r>
              <w:rPr>
                <w:rFonts w:ascii="宋体" w:hAnsi="宋体" w:eastAsia="宋体" w:cs="宋体"/>
                <w:b w:val="0"/>
                <w:i w:val="0"/>
                <w:color w:val="000000"/>
                <w:sz w:val="19"/>
              </w:rPr>
              <w:t>2,143.84</w:t>
            </w:r>
          </w:p>
        </w:tc>
        <w:tc>
          <w:tcPr>
            <w:tcW w:w="1600" w:type="dxa"/>
            <w:vAlign w:val="center"/>
          </w:tcPr>
          <w:p>
            <w:pPr>
              <w:jc w:val="right"/>
            </w:pPr>
            <w:r>
              <w:rPr>
                <w:rFonts w:ascii="宋体" w:hAnsi="宋体" w:eastAsia="宋体" w:cs="宋体"/>
                <w:b w:val="0"/>
                <w:i w:val="0"/>
                <w:color w:val="000000"/>
                <w:sz w:val="19"/>
              </w:rPr>
              <w:t>1,616.06</w:t>
            </w:r>
          </w:p>
        </w:tc>
        <w:tc>
          <w:tcPr>
            <w:tcW w:w="1600" w:type="dxa"/>
            <w:vAlign w:val="center"/>
          </w:tcPr>
          <w:p>
            <w:pPr>
              <w:jc w:val="right"/>
            </w:pPr>
            <w:r>
              <w:rPr>
                <w:rFonts w:ascii="宋体" w:hAnsi="宋体" w:eastAsia="宋体" w:cs="宋体"/>
                <w:b w:val="0"/>
                <w:i w:val="0"/>
                <w:color w:val="000000"/>
                <w:sz w:val="19"/>
              </w:rPr>
              <w:t>527.77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2040401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1,616.06</w:t>
            </w:r>
          </w:p>
        </w:tc>
        <w:tc>
          <w:tcPr>
            <w:tcW w:w="1600" w:type="dxa"/>
            <w:vAlign w:val="center"/>
          </w:tcPr>
          <w:p>
            <w:pPr>
              <w:jc w:val="right"/>
            </w:pPr>
            <w:r>
              <w:rPr>
                <w:rFonts w:ascii="宋体" w:hAnsi="宋体" w:eastAsia="宋体" w:cs="宋体"/>
                <w:b w:val="0"/>
                <w:i w:val="0"/>
                <w:color w:val="000000"/>
                <w:sz w:val="19"/>
              </w:rPr>
              <w:t>1,616.06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2040402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181.38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181.38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2040499</w:t>
            </w:r>
          </w:p>
        </w:tc>
        <w:tc>
          <w:tcPr>
            <w:tcW w:w="3480" w:type="dxa"/>
            <w:vAlign w:val="center"/>
          </w:tcPr>
          <w:p>
            <w:pPr>
              <w:jc w:val="left"/>
            </w:pPr>
            <w:r>
              <w:rPr>
                <w:rFonts w:ascii="宋体" w:hAnsi="宋体" w:eastAsia="宋体" w:cs="宋体"/>
                <w:b w:val="0"/>
                <w:i w:val="0"/>
                <w:color w:val="000000"/>
                <w:sz w:val="19"/>
              </w:rPr>
              <w:t>其他检察支出</w:t>
            </w:r>
          </w:p>
        </w:tc>
        <w:tc>
          <w:tcPr>
            <w:tcW w:w="1600" w:type="dxa"/>
            <w:vAlign w:val="center"/>
          </w:tcPr>
          <w:p>
            <w:pPr>
              <w:jc w:val="right"/>
            </w:pPr>
            <w:r>
              <w:rPr>
                <w:rFonts w:ascii="宋体" w:hAnsi="宋体" w:eastAsia="宋体" w:cs="宋体"/>
                <w:b w:val="0"/>
                <w:i w:val="0"/>
                <w:color w:val="000000"/>
                <w:sz w:val="19"/>
              </w:rPr>
              <w:t>346.39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346.39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107.89</w:t>
            </w:r>
          </w:p>
        </w:tc>
        <w:tc>
          <w:tcPr>
            <w:tcW w:w="1600" w:type="dxa"/>
            <w:vAlign w:val="center"/>
          </w:tcPr>
          <w:p>
            <w:pPr>
              <w:jc w:val="right"/>
            </w:pPr>
            <w:r>
              <w:rPr>
                <w:rFonts w:ascii="宋体" w:hAnsi="宋体" w:eastAsia="宋体" w:cs="宋体"/>
                <w:b w:val="0"/>
                <w:i w:val="0"/>
                <w:color w:val="000000"/>
                <w:sz w:val="19"/>
              </w:rPr>
              <w:t>107.89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107.89</w:t>
            </w:r>
          </w:p>
        </w:tc>
        <w:tc>
          <w:tcPr>
            <w:tcW w:w="1600" w:type="dxa"/>
            <w:vAlign w:val="center"/>
          </w:tcPr>
          <w:p>
            <w:pPr>
              <w:jc w:val="right"/>
            </w:pPr>
            <w:r>
              <w:rPr>
                <w:rFonts w:ascii="宋体" w:hAnsi="宋体" w:eastAsia="宋体" w:cs="宋体"/>
                <w:b w:val="0"/>
                <w:i w:val="0"/>
                <w:color w:val="000000"/>
                <w:sz w:val="19"/>
              </w:rPr>
              <w:t>107.89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107.89</w:t>
            </w:r>
          </w:p>
        </w:tc>
        <w:tc>
          <w:tcPr>
            <w:tcW w:w="1600" w:type="dxa"/>
            <w:vAlign w:val="center"/>
          </w:tcPr>
          <w:p>
            <w:pPr>
              <w:jc w:val="right"/>
            </w:pPr>
            <w:r>
              <w:rPr>
                <w:rFonts w:ascii="宋体" w:hAnsi="宋体" w:eastAsia="宋体" w:cs="宋体"/>
                <w:b w:val="0"/>
                <w:i w:val="0"/>
                <w:color w:val="000000"/>
                <w:sz w:val="19"/>
              </w:rPr>
              <w:t>107.89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13958"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注：本表反映本年度各项支出情况。</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134" w:right="1440" w:bottom="1134" w:left="1440" w:header="720" w:footer="720" w:gutter="0"/>
          <w:pgNumType w:fmt="decimal"/>
          <w:cols w:space="425" w:num="1"/>
          <w:docGrid w:type="lines" w:linePitch="312" w:charSpace="0"/>
        </w:sectPr>
      </w:pPr>
    </w:p>
    <w:p>
      <w:pPr>
        <w:pStyle w:val="3"/>
        <w:bidi w:val="0"/>
        <w:jc w:val="center"/>
        <w:rPr>
          <w:rFonts w:hint="eastAsia" w:ascii="楷体" w:hAnsi="楷体" w:eastAsia="楷体" w:cs="楷体"/>
          <w:b w:val="0"/>
          <w:bCs/>
          <w:lang w:val="en-US" w:eastAsia="zh-CN"/>
        </w:rPr>
      </w:pPr>
      <w:bookmarkStart w:id="14" w:name="_Toc_1_2_0000000041"/>
      <w:r>
        <w:rPr>
          <w:rFonts w:hint="eastAsia" w:ascii="楷体" w:hAnsi="楷体" w:eastAsia="楷体" w:cs="楷体"/>
          <w:b w:val="0"/>
          <w:bCs/>
          <w:lang w:val="en-US" w:eastAsia="zh-CN"/>
        </w:rPr>
        <w:t>2023年度财政拨款收入支出决算总表</w:t>
      </w:r>
      <w:bookmarkEnd w:id="14"/>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部门：庆元县人民检察院（汇总）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4660" w:type="dxa"/>
            <w:gridSpan w:val="3"/>
            <w:vAlign w:val="center"/>
          </w:tcPr>
          <w:p>
            <w:pPr>
              <w:jc w:val="center"/>
            </w:pPr>
            <w:r>
              <w:rPr>
                <w:rFonts w:ascii="宋体" w:hAnsi="宋体" w:eastAsia="宋体" w:cs="宋体"/>
                <w:b w:val="0"/>
                <w:i w:val="0"/>
                <w:color w:val="000000"/>
                <w:sz w:val="18"/>
              </w:rPr>
              <w:t>收     入</w:t>
            </w:r>
          </w:p>
        </w:tc>
        <w:tc>
          <w:tcPr>
            <w:tcW w:w="9298"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   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   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   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   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2,273.44</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24.79</w:t>
            </w:r>
          </w:p>
        </w:tc>
        <w:tc>
          <w:tcPr>
            <w:tcW w:w="1420" w:type="dxa"/>
            <w:vAlign w:val="center"/>
          </w:tcPr>
          <w:p>
            <w:pPr>
              <w:jc w:val="right"/>
            </w:pPr>
            <w:r>
              <w:rPr>
                <w:rFonts w:ascii="宋体" w:hAnsi="宋体" w:eastAsia="宋体" w:cs="宋体"/>
                <w:b w:val="0"/>
                <w:i w:val="0"/>
                <w:color w:val="000000"/>
                <w:sz w:val="18"/>
              </w:rPr>
              <w:t>24.79</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2,140.76</w:t>
            </w:r>
          </w:p>
        </w:tc>
        <w:tc>
          <w:tcPr>
            <w:tcW w:w="1420" w:type="dxa"/>
            <w:vAlign w:val="center"/>
          </w:tcPr>
          <w:p>
            <w:pPr>
              <w:jc w:val="right"/>
            </w:pPr>
            <w:r>
              <w:rPr>
                <w:rFonts w:ascii="宋体" w:hAnsi="宋体" w:eastAsia="宋体" w:cs="宋体"/>
                <w:b w:val="0"/>
                <w:i w:val="0"/>
                <w:color w:val="000000"/>
                <w:sz w:val="18"/>
              </w:rPr>
              <w:t>2,140.76</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107.89</w:t>
            </w:r>
          </w:p>
        </w:tc>
        <w:tc>
          <w:tcPr>
            <w:tcW w:w="1420" w:type="dxa"/>
            <w:vAlign w:val="center"/>
          </w:tcPr>
          <w:p>
            <w:pPr>
              <w:jc w:val="right"/>
            </w:pPr>
            <w:r>
              <w:rPr>
                <w:rFonts w:ascii="宋体" w:hAnsi="宋体" w:eastAsia="宋体" w:cs="宋体"/>
                <w:b w:val="0"/>
                <w:i w:val="0"/>
                <w:color w:val="000000"/>
                <w:sz w:val="18"/>
              </w:rPr>
              <w:t>107.89</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6"/>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6"/>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2,273.44</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2,273.44</w:t>
            </w:r>
          </w:p>
        </w:tc>
        <w:tc>
          <w:tcPr>
            <w:tcW w:w="1420" w:type="dxa"/>
            <w:vAlign w:val="center"/>
          </w:tcPr>
          <w:p>
            <w:pPr>
              <w:jc w:val="right"/>
            </w:pPr>
            <w:r>
              <w:rPr>
                <w:rFonts w:ascii="宋体" w:hAnsi="宋体" w:eastAsia="宋体" w:cs="宋体"/>
                <w:b w:val="0"/>
                <w:i w:val="0"/>
                <w:color w:val="000000"/>
                <w:sz w:val="18"/>
              </w:rPr>
              <w:t>2,273.44</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   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2,273.44</w:t>
            </w:r>
          </w:p>
        </w:tc>
        <w:tc>
          <w:tcPr>
            <w:tcW w:w="3080" w:type="dxa"/>
            <w:vAlign w:val="center"/>
          </w:tcPr>
          <w:p>
            <w:pPr>
              <w:jc w:val="center"/>
            </w:pPr>
            <w:r>
              <w:rPr>
                <w:rFonts w:ascii="宋体" w:hAnsi="宋体" w:eastAsia="宋体" w:cs="宋体"/>
                <w:b/>
                <w:i w:val="0"/>
                <w:color w:val="000000"/>
                <w:sz w:val="18"/>
              </w:rPr>
              <w:t>总   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2,273.44</w:t>
            </w:r>
          </w:p>
        </w:tc>
        <w:tc>
          <w:tcPr>
            <w:tcW w:w="1420" w:type="dxa"/>
            <w:vAlign w:val="center"/>
          </w:tcPr>
          <w:p>
            <w:pPr>
              <w:jc w:val="right"/>
            </w:pPr>
            <w:r>
              <w:rPr>
                <w:rFonts w:ascii="宋体" w:hAnsi="宋体" w:eastAsia="宋体" w:cs="宋体"/>
                <w:b w:val="0"/>
                <w:i w:val="0"/>
                <w:color w:val="000000"/>
                <w:sz w:val="18"/>
              </w:rPr>
              <w:t>2,273.44</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1248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注：本表反映本年度一般公共预算财政拨款、政府性基金预算财政拨款和国有资本经营预算财政拨款的总收支和年末结转结余情况。</w:t>
            </w:r>
          </w:p>
        </w:tc>
        <w:tc>
          <w:tcPr>
            <w:tcW w:w="1478" w:type="dxa"/>
            <w:tcBorders>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134" w:right="1440" w:bottom="1134" w:left="1440" w:header="720" w:footer="720" w:gutter="0"/>
          <w:pgNumType w:fmt="decimal"/>
          <w:cols w:space="425" w:num="1"/>
          <w:docGrid w:type="lines" w:linePitch="312" w:charSpace="0"/>
        </w:sectPr>
      </w:pPr>
    </w:p>
    <w:p>
      <w:pPr>
        <w:pStyle w:val="3"/>
        <w:bidi w:val="0"/>
        <w:jc w:val="center"/>
        <w:rPr>
          <w:rFonts w:hint="default" w:ascii="华文中宋" w:hAnsi="华文中宋" w:eastAsia="华文中宋" w:cs="华文中宋"/>
          <w:color w:val="000000"/>
          <w:kern w:val="0"/>
          <w:szCs w:val="32"/>
          <w:lang w:val="en-US" w:eastAsia="zh-CN"/>
        </w:rPr>
      </w:pPr>
      <w:bookmarkStart w:id="15" w:name="_Toc_1_2_0000000042"/>
      <w:r>
        <w:rPr>
          <w:rFonts w:hint="eastAsia" w:ascii="楷体" w:hAnsi="楷体" w:eastAsia="楷体" w:cs="楷体"/>
          <w:b w:val="0"/>
          <w:bCs/>
          <w:lang w:val="en-US" w:eastAsia="zh-CN"/>
        </w:rPr>
        <w:t>2023年度一般公共预算财政拨款支出决算表</w:t>
      </w:r>
      <w:bookmarkEnd w:id="15"/>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部门：庆元县人民检察院（汇总）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00"/>
        <w:gridCol w:w="400"/>
        <w:gridCol w:w="400"/>
        <w:gridCol w:w="5360"/>
        <w:gridCol w:w="2460"/>
        <w:gridCol w:w="2460"/>
        <w:gridCol w:w="2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6560" w:type="dxa"/>
            <w:gridSpan w:val="4"/>
            <w:vAlign w:val="center"/>
          </w:tcPr>
          <w:p>
            <w:pPr>
              <w:jc w:val="center"/>
            </w:pPr>
            <w:r>
              <w:rPr>
                <w:rFonts w:ascii="宋体" w:hAnsi="宋体" w:eastAsia="宋体" w:cs="宋体"/>
                <w:b w:val="0"/>
                <w:i w:val="0"/>
                <w:color w:val="000000"/>
                <w:sz w:val="28"/>
              </w:rPr>
              <w:t>项   目</w:t>
            </w:r>
          </w:p>
        </w:tc>
        <w:tc>
          <w:tcPr>
            <w:tcW w:w="7398"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Merge w:val="restart"/>
            <w:vAlign w:val="center"/>
          </w:tcPr>
          <w:p>
            <w:pPr>
              <w:jc w:val="center"/>
            </w:pPr>
            <w:r>
              <w:rPr>
                <w:rFonts w:ascii="宋体" w:hAnsi="宋体" w:eastAsia="宋体" w:cs="宋体"/>
                <w:b w:val="0"/>
                <w:i w:val="0"/>
                <w:color w:val="000000"/>
                <w:sz w:val="28"/>
              </w:rPr>
              <w:t>支出功能分类科目编码</w:t>
            </w:r>
          </w:p>
        </w:tc>
        <w:tc>
          <w:tcPr>
            <w:tcW w:w="5360" w:type="dxa"/>
            <w:vMerge w:val="restart"/>
            <w:vAlign w:val="center"/>
          </w:tcPr>
          <w:p>
            <w:pPr>
              <w:jc w:val="center"/>
            </w:pPr>
            <w:r>
              <w:rPr>
                <w:rFonts w:ascii="宋体" w:hAnsi="宋体" w:eastAsia="宋体" w:cs="宋体"/>
                <w:b w:val="0"/>
                <w:i w:val="0"/>
                <w:color w:val="000000"/>
                <w:sz w:val="28"/>
              </w:rPr>
              <w:t>科目名称</w:t>
            </w:r>
          </w:p>
        </w:tc>
        <w:tc>
          <w:tcPr>
            <w:tcW w:w="2460" w:type="dxa"/>
            <w:vMerge w:val="restart"/>
            <w:vAlign w:val="center"/>
          </w:tcPr>
          <w:p>
            <w:pPr>
              <w:jc w:val="center"/>
            </w:pPr>
            <w:r>
              <w:rPr>
                <w:rFonts w:ascii="宋体" w:hAnsi="宋体" w:eastAsia="宋体" w:cs="宋体"/>
                <w:b w:val="0"/>
                <w:i w:val="0"/>
                <w:color w:val="000000"/>
                <w:sz w:val="28"/>
              </w:rPr>
              <w:t>小计</w:t>
            </w:r>
          </w:p>
        </w:tc>
        <w:tc>
          <w:tcPr>
            <w:tcW w:w="2460" w:type="dxa"/>
            <w:vMerge w:val="restart"/>
            <w:vAlign w:val="center"/>
          </w:tcPr>
          <w:p>
            <w:pPr>
              <w:jc w:val="center"/>
            </w:pPr>
            <w:r>
              <w:rPr>
                <w:rFonts w:ascii="宋体" w:hAnsi="宋体" w:eastAsia="宋体" w:cs="宋体"/>
                <w:b w:val="0"/>
                <w:i w:val="0"/>
                <w:color w:val="000000"/>
                <w:sz w:val="28"/>
              </w:rPr>
              <w:t>基本支出</w:t>
            </w:r>
          </w:p>
        </w:tc>
        <w:tc>
          <w:tcPr>
            <w:tcW w:w="247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Merge w:val="continue"/>
            <w:vAlign w:val="center"/>
          </w:tcPr>
          <w:p/>
        </w:tc>
        <w:tc>
          <w:tcPr>
            <w:tcW w:w="5360" w:type="dxa"/>
            <w:vMerge w:val="continue"/>
            <w:vAlign w:val="center"/>
          </w:tcPr>
          <w:p/>
        </w:tc>
        <w:tc>
          <w:tcPr>
            <w:tcW w:w="2460" w:type="dxa"/>
            <w:vMerge w:val="continue"/>
            <w:vAlign w:val="center"/>
          </w:tcPr>
          <w:p/>
        </w:tc>
        <w:tc>
          <w:tcPr>
            <w:tcW w:w="2460" w:type="dxa"/>
            <w:vMerge w:val="continue"/>
            <w:vAlign w:val="center"/>
          </w:tcPr>
          <w:p/>
        </w:tc>
        <w:tc>
          <w:tcPr>
            <w:tcW w:w="2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Merge w:val="continue"/>
            <w:vAlign w:val="center"/>
          </w:tcPr>
          <w:p/>
        </w:tc>
        <w:tc>
          <w:tcPr>
            <w:tcW w:w="5360" w:type="dxa"/>
            <w:vMerge w:val="continue"/>
            <w:vAlign w:val="center"/>
          </w:tcPr>
          <w:p/>
        </w:tc>
        <w:tc>
          <w:tcPr>
            <w:tcW w:w="2460" w:type="dxa"/>
            <w:vMerge w:val="continue"/>
            <w:vAlign w:val="center"/>
          </w:tcPr>
          <w:p/>
        </w:tc>
        <w:tc>
          <w:tcPr>
            <w:tcW w:w="2460" w:type="dxa"/>
            <w:vMerge w:val="continue"/>
            <w:vAlign w:val="center"/>
          </w:tcPr>
          <w:p/>
        </w:tc>
        <w:tc>
          <w:tcPr>
            <w:tcW w:w="2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400" w:type="dxa"/>
            <w:vMerge w:val="restart"/>
            <w:vAlign w:val="center"/>
          </w:tcPr>
          <w:p>
            <w:pPr>
              <w:jc w:val="center"/>
            </w:pPr>
            <w:r>
              <w:rPr>
                <w:rFonts w:ascii="宋体" w:hAnsi="宋体" w:eastAsia="宋体" w:cs="宋体"/>
                <w:b w:val="0"/>
                <w:i w:val="0"/>
                <w:color w:val="000000"/>
                <w:sz w:val="28"/>
              </w:rPr>
              <w:t>类</w:t>
            </w:r>
          </w:p>
        </w:tc>
        <w:tc>
          <w:tcPr>
            <w:tcW w:w="400" w:type="dxa"/>
            <w:vMerge w:val="restart"/>
            <w:vAlign w:val="center"/>
          </w:tcPr>
          <w:p>
            <w:pPr>
              <w:jc w:val="center"/>
            </w:pPr>
            <w:r>
              <w:rPr>
                <w:rFonts w:ascii="宋体" w:hAnsi="宋体" w:eastAsia="宋体" w:cs="宋体"/>
                <w:b w:val="0"/>
                <w:i w:val="0"/>
                <w:color w:val="000000"/>
                <w:sz w:val="28"/>
              </w:rPr>
              <w:t>款</w:t>
            </w:r>
          </w:p>
        </w:tc>
        <w:tc>
          <w:tcPr>
            <w:tcW w:w="400" w:type="dxa"/>
            <w:vMerge w:val="restart"/>
            <w:vAlign w:val="center"/>
          </w:tcPr>
          <w:p>
            <w:pPr>
              <w:jc w:val="center"/>
            </w:pPr>
            <w:r>
              <w:rPr>
                <w:rFonts w:ascii="宋体" w:hAnsi="宋体" w:eastAsia="宋体" w:cs="宋体"/>
                <w:b w:val="0"/>
                <w:i w:val="0"/>
                <w:color w:val="000000"/>
                <w:sz w:val="28"/>
              </w:rPr>
              <w:t>项</w:t>
            </w:r>
          </w:p>
        </w:tc>
        <w:tc>
          <w:tcPr>
            <w:tcW w:w="5360" w:type="dxa"/>
            <w:vAlign w:val="center"/>
          </w:tcPr>
          <w:p>
            <w:pPr>
              <w:jc w:val="center"/>
            </w:pPr>
            <w:r>
              <w:rPr>
                <w:rFonts w:ascii="宋体" w:hAnsi="宋体" w:eastAsia="宋体" w:cs="宋体"/>
                <w:b w:val="0"/>
                <w:i w:val="0"/>
                <w:color w:val="000000"/>
                <w:sz w:val="28"/>
              </w:rPr>
              <w:t>栏次</w:t>
            </w:r>
          </w:p>
        </w:tc>
        <w:tc>
          <w:tcPr>
            <w:tcW w:w="2460" w:type="dxa"/>
            <w:vAlign w:val="center"/>
          </w:tcPr>
          <w:p>
            <w:pPr>
              <w:jc w:val="center"/>
            </w:pPr>
            <w:r>
              <w:rPr>
                <w:rFonts w:ascii="宋体" w:hAnsi="宋体" w:eastAsia="宋体" w:cs="宋体"/>
                <w:b w:val="0"/>
                <w:i w:val="0"/>
                <w:color w:val="000000"/>
                <w:sz w:val="28"/>
              </w:rPr>
              <w:t>1</w:t>
            </w:r>
          </w:p>
        </w:tc>
        <w:tc>
          <w:tcPr>
            <w:tcW w:w="2460" w:type="dxa"/>
            <w:vAlign w:val="center"/>
          </w:tcPr>
          <w:p>
            <w:pPr>
              <w:jc w:val="center"/>
            </w:pPr>
            <w:r>
              <w:rPr>
                <w:rFonts w:ascii="宋体" w:hAnsi="宋体" w:eastAsia="宋体" w:cs="宋体"/>
                <w:b w:val="0"/>
                <w:i w:val="0"/>
                <w:color w:val="000000"/>
                <w:sz w:val="28"/>
              </w:rPr>
              <w:t>2</w:t>
            </w:r>
          </w:p>
        </w:tc>
        <w:tc>
          <w:tcPr>
            <w:tcW w:w="247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400" w:type="dxa"/>
            <w:vMerge w:val="continue"/>
            <w:vAlign w:val="center"/>
          </w:tcPr>
          <w:p/>
        </w:tc>
        <w:tc>
          <w:tcPr>
            <w:tcW w:w="400" w:type="dxa"/>
            <w:vMerge w:val="continue"/>
            <w:vAlign w:val="center"/>
          </w:tcPr>
          <w:p/>
        </w:tc>
        <w:tc>
          <w:tcPr>
            <w:tcW w:w="400" w:type="dxa"/>
            <w:vMerge w:val="continue"/>
            <w:vAlign w:val="center"/>
          </w:tcPr>
          <w:p/>
        </w:tc>
        <w:tc>
          <w:tcPr>
            <w:tcW w:w="5360" w:type="dxa"/>
            <w:vAlign w:val="center"/>
          </w:tcPr>
          <w:p>
            <w:pPr>
              <w:jc w:val="center"/>
            </w:pPr>
            <w:r>
              <w:rPr>
                <w:rFonts w:ascii="宋体" w:hAnsi="宋体" w:eastAsia="宋体" w:cs="宋体"/>
                <w:b w:val="0"/>
                <w:i w:val="0"/>
                <w:color w:val="000000"/>
                <w:sz w:val="28"/>
              </w:rPr>
              <w:t>合计</w:t>
            </w:r>
          </w:p>
        </w:tc>
        <w:tc>
          <w:tcPr>
            <w:tcW w:w="2460" w:type="dxa"/>
            <w:vAlign w:val="center"/>
          </w:tcPr>
          <w:p>
            <w:pPr>
              <w:jc w:val="right"/>
            </w:pPr>
            <w:r>
              <w:rPr>
                <w:rFonts w:ascii="宋体" w:hAnsi="宋体" w:eastAsia="宋体" w:cs="宋体"/>
                <w:b w:val="0"/>
                <w:i w:val="0"/>
                <w:color w:val="000000"/>
                <w:sz w:val="28"/>
              </w:rPr>
              <w:t>2,273.44</w:t>
            </w:r>
          </w:p>
        </w:tc>
        <w:tc>
          <w:tcPr>
            <w:tcW w:w="2460" w:type="dxa"/>
            <w:vAlign w:val="center"/>
          </w:tcPr>
          <w:p>
            <w:pPr>
              <w:jc w:val="right"/>
            </w:pPr>
            <w:r>
              <w:rPr>
                <w:rFonts w:ascii="宋体" w:hAnsi="宋体" w:eastAsia="宋体" w:cs="宋体"/>
                <w:b w:val="0"/>
                <w:i w:val="0"/>
                <w:color w:val="000000"/>
                <w:sz w:val="28"/>
              </w:rPr>
              <w:t>1,720.87</w:t>
            </w:r>
          </w:p>
        </w:tc>
        <w:tc>
          <w:tcPr>
            <w:tcW w:w="2478" w:type="dxa"/>
            <w:vAlign w:val="center"/>
          </w:tcPr>
          <w:p>
            <w:pPr>
              <w:jc w:val="right"/>
            </w:pPr>
            <w:r>
              <w:rPr>
                <w:rFonts w:ascii="宋体" w:hAnsi="宋体" w:eastAsia="宋体" w:cs="宋体"/>
                <w:b w:val="0"/>
                <w:i w:val="0"/>
                <w:color w:val="000000"/>
                <w:sz w:val="28"/>
              </w:rPr>
              <w:t>552.57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201</w:t>
            </w:r>
          </w:p>
        </w:tc>
        <w:tc>
          <w:tcPr>
            <w:tcW w:w="5360" w:type="dxa"/>
            <w:vAlign w:val="center"/>
          </w:tcPr>
          <w:p>
            <w:pPr>
              <w:jc w:val="left"/>
            </w:pPr>
            <w:r>
              <w:rPr>
                <w:rFonts w:ascii="宋体" w:hAnsi="宋体" w:eastAsia="宋体" w:cs="宋体"/>
                <w:b w:val="0"/>
                <w:i w:val="0"/>
                <w:color w:val="000000"/>
                <w:sz w:val="28"/>
              </w:rPr>
              <w:t>一般公共服务支出</w:t>
            </w:r>
          </w:p>
        </w:tc>
        <w:tc>
          <w:tcPr>
            <w:tcW w:w="2460" w:type="dxa"/>
            <w:vAlign w:val="center"/>
          </w:tcPr>
          <w:p>
            <w:pPr>
              <w:jc w:val="right"/>
            </w:pPr>
            <w:r>
              <w:rPr>
                <w:rFonts w:ascii="宋体" w:hAnsi="宋体" w:eastAsia="宋体" w:cs="宋体"/>
                <w:b w:val="0"/>
                <w:i w:val="0"/>
                <w:color w:val="000000"/>
                <w:sz w:val="28"/>
              </w:rPr>
              <w:t>24.79</w:t>
            </w:r>
          </w:p>
        </w:tc>
        <w:tc>
          <w:tcPr>
            <w:tcW w:w="2460" w:type="dxa"/>
            <w:vAlign w:val="center"/>
          </w:tcPr>
          <w:p>
            <w:pPr>
              <w:jc w:val="right"/>
            </w:pPr>
            <w:r>
              <w:rPr>
                <w:rFonts w:ascii="宋体" w:hAnsi="宋体" w:eastAsia="宋体" w:cs="宋体"/>
                <w:b w:val="0"/>
                <w:i w:val="0"/>
                <w:color w:val="000000"/>
                <w:sz w:val="28"/>
              </w:rPr>
              <w:t>0.00</w:t>
            </w:r>
          </w:p>
        </w:tc>
        <w:tc>
          <w:tcPr>
            <w:tcW w:w="2478" w:type="dxa"/>
            <w:vAlign w:val="center"/>
          </w:tcPr>
          <w:p>
            <w:pPr>
              <w:jc w:val="right"/>
            </w:pPr>
            <w:r>
              <w:rPr>
                <w:rFonts w:ascii="宋体" w:hAnsi="宋体" w:eastAsia="宋体" w:cs="宋体"/>
                <w:b w:val="0"/>
                <w:i w:val="0"/>
                <w:color w:val="000000"/>
                <w:sz w:val="28"/>
              </w:rPr>
              <w:t>24.79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20136</w:t>
            </w:r>
          </w:p>
        </w:tc>
        <w:tc>
          <w:tcPr>
            <w:tcW w:w="5360" w:type="dxa"/>
            <w:vAlign w:val="center"/>
          </w:tcPr>
          <w:p>
            <w:pPr>
              <w:jc w:val="left"/>
            </w:pPr>
            <w:r>
              <w:rPr>
                <w:rFonts w:ascii="宋体" w:hAnsi="宋体" w:eastAsia="宋体" w:cs="宋体"/>
                <w:b w:val="0"/>
                <w:i w:val="0"/>
                <w:color w:val="000000"/>
                <w:sz w:val="28"/>
              </w:rPr>
              <w:t>其他共产党事务支出</w:t>
            </w:r>
          </w:p>
        </w:tc>
        <w:tc>
          <w:tcPr>
            <w:tcW w:w="2460" w:type="dxa"/>
            <w:vAlign w:val="center"/>
          </w:tcPr>
          <w:p>
            <w:pPr>
              <w:jc w:val="right"/>
            </w:pPr>
            <w:r>
              <w:rPr>
                <w:rFonts w:ascii="宋体" w:hAnsi="宋体" w:eastAsia="宋体" w:cs="宋体"/>
                <w:b w:val="0"/>
                <w:i w:val="0"/>
                <w:color w:val="000000"/>
                <w:sz w:val="28"/>
              </w:rPr>
              <w:t>24.79</w:t>
            </w:r>
          </w:p>
        </w:tc>
        <w:tc>
          <w:tcPr>
            <w:tcW w:w="2460" w:type="dxa"/>
            <w:vAlign w:val="center"/>
          </w:tcPr>
          <w:p>
            <w:pPr>
              <w:jc w:val="right"/>
            </w:pPr>
            <w:r>
              <w:rPr>
                <w:rFonts w:ascii="宋体" w:hAnsi="宋体" w:eastAsia="宋体" w:cs="宋体"/>
                <w:b w:val="0"/>
                <w:i w:val="0"/>
                <w:color w:val="000000"/>
                <w:sz w:val="28"/>
              </w:rPr>
              <w:t>0.00</w:t>
            </w:r>
          </w:p>
        </w:tc>
        <w:tc>
          <w:tcPr>
            <w:tcW w:w="2478" w:type="dxa"/>
            <w:vAlign w:val="center"/>
          </w:tcPr>
          <w:p>
            <w:pPr>
              <w:jc w:val="right"/>
            </w:pPr>
            <w:r>
              <w:rPr>
                <w:rFonts w:ascii="宋体" w:hAnsi="宋体" w:eastAsia="宋体" w:cs="宋体"/>
                <w:b w:val="0"/>
                <w:i w:val="0"/>
                <w:color w:val="000000"/>
                <w:sz w:val="28"/>
              </w:rPr>
              <w:t>24.79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2013699</w:t>
            </w:r>
          </w:p>
        </w:tc>
        <w:tc>
          <w:tcPr>
            <w:tcW w:w="5360" w:type="dxa"/>
            <w:vAlign w:val="center"/>
          </w:tcPr>
          <w:p>
            <w:pPr>
              <w:jc w:val="left"/>
            </w:pPr>
            <w:r>
              <w:rPr>
                <w:rFonts w:ascii="宋体" w:hAnsi="宋体" w:eastAsia="宋体" w:cs="宋体"/>
                <w:b w:val="0"/>
                <w:i w:val="0"/>
                <w:color w:val="000000"/>
                <w:sz w:val="28"/>
              </w:rPr>
              <w:t>其他共产党事务支出</w:t>
            </w:r>
          </w:p>
        </w:tc>
        <w:tc>
          <w:tcPr>
            <w:tcW w:w="2460" w:type="dxa"/>
            <w:vAlign w:val="center"/>
          </w:tcPr>
          <w:p>
            <w:pPr>
              <w:jc w:val="right"/>
            </w:pPr>
            <w:r>
              <w:rPr>
                <w:rFonts w:ascii="宋体" w:hAnsi="宋体" w:eastAsia="宋体" w:cs="宋体"/>
                <w:b w:val="0"/>
                <w:i w:val="0"/>
                <w:color w:val="000000"/>
                <w:sz w:val="28"/>
              </w:rPr>
              <w:t>24.79</w:t>
            </w:r>
          </w:p>
        </w:tc>
        <w:tc>
          <w:tcPr>
            <w:tcW w:w="2460" w:type="dxa"/>
            <w:vAlign w:val="center"/>
          </w:tcPr>
          <w:p>
            <w:pPr>
              <w:jc w:val="right"/>
            </w:pPr>
            <w:r>
              <w:rPr>
                <w:rFonts w:ascii="宋体" w:hAnsi="宋体" w:eastAsia="宋体" w:cs="宋体"/>
                <w:b w:val="0"/>
                <w:i w:val="0"/>
                <w:color w:val="000000"/>
                <w:sz w:val="28"/>
              </w:rPr>
              <w:t>0.00</w:t>
            </w:r>
          </w:p>
        </w:tc>
        <w:tc>
          <w:tcPr>
            <w:tcW w:w="2478" w:type="dxa"/>
            <w:vAlign w:val="center"/>
          </w:tcPr>
          <w:p>
            <w:pPr>
              <w:jc w:val="right"/>
            </w:pPr>
            <w:r>
              <w:rPr>
                <w:rFonts w:ascii="宋体" w:hAnsi="宋体" w:eastAsia="宋体" w:cs="宋体"/>
                <w:b w:val="0"/>
                <w:i w:val="0"/>
                <w:color w:val="000000"/>
                <w:sz w:val="28"/>
              </w:rPr>
              <w:t>24.79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204</w:t>
            </w:r>
          </w:p>
        </w:tc>
        <w:tc>
          <w:tcPr>
            <w:tcW w:w="5360" w:type="dxa"/>
            <w:vAlign w:val="center"/>
          </w:tcPr>
          <w:p>
            <w:pPr>
              <w:jc w:val="left"/>
            </w:pPr>
            <w:r>
              <w:rPr>
                <w:rFonts w:ascii="宋体" w:hAnsi="宋体" w:eastAsia="宋体" w:cs="宋体"/>
                <w:b w:val="0"/>
                <w:i w:val="0"/>
                <w:color w:val="000000"/>
                <w:sz w:val="28"/>
              </w:rPr>
              <w:t>公共安全支出</w:t>
            </w:r>
          </w:p>
        </w:tc>
        <w:tc>
          <w:tcPr>
            <w:tcW w:w="2460" w:type="dxa"/>
            <w:vAlign w:val="center"/>
          </w:tcPr>
          <w:p>
            <w:pPr>
              <w:jc w:val="right"/>
            </w:pPr>
            <w:r>
              <w:rPr>
                <w:rFonts w:ascii="宋体" w:hAnsi="宋体" w:eastAsia="宋体" w:cs="宋体"/>
                <w:b w:val="0"/>
                <w:i w:val="0"/>
                <w:color w:val="000000"/>
                <w:sz w:val="28"/>
              </w:rPr>
              <w:t>2,140.76</w:t>
            </w:r>
          </w:p>
        </w:tc>
        <w:tc>
          <w:tcPr>
            <w:tcW w:w="2460" w:type="dxa"/>
            <w:vAlign w:val="center"/>
          </w:tcPr>
          <w:p>
            <w:pPr>
              <w:jc w:val="right"/>
            </w:pPr>
            <w:r>
              <w:rPr>
                <w:rFonts w:ascii="宋体" w:hAnsi="宋体" w:eastAsia="宋体" w:cs="宋体"/>
                <w:b w:val="0"/>
                <w:i w:val="0"/>
                <w:color w:val="000000"/>
                <w:sz w:val="28"/>
              </w:rPr>
              <w:t>1,612.99</w:t>
            </w:r>
          </w:p>
        </w:tc>
        <w:tc>
          <w:tcPr>
            <w:tcW w:w="2478" w:type="dxa"/>
            <w:vAlign w:val="center"/>
          </w:tcPr>
          <w:p>
            <w:pPr>
              <w:jc w:val="right"/>
            </w:pPr>
            <w:r>
              <w:rPr>
                <w:rFonts w:ascii="宋体" w:hAnsi="宋体" w:eastAsia="宋体" w:cs="宋体"/>
                <w:b w:val="0"/>
                <w:i w:val="0"/>
                <w:color w:val="000000"/>
                <w:sz w:val="28"/>
              </w:rPr>
              <w:t>527.77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20404</w:t>
            </w:r>
          </w:p>
        </w:tc>
        <w:tc>
          <w:tcPr>
            <w:tcW w:w="5360" w:type="dxa"/>
            <w:vAlign w:val="center"/>
          </w:tcPr>
          <w:p>
            <w:pPr>
              <w:jc w:val="left"/>
            </w:pPr>
            <w:r>
              <w:rPr>
                <w:rFonts w:ascii="宋体" w:hAnsi="宋体" w:eastAsia="宋体" w:cs="宋体"/>
                <w:b w:val="0"/>
                <w:i w:val="0"/>
                <w:color w:val="000000"/>
                <w:sz w:val="28"/>
              </w:rPr>
              <w:t>检察</w:t>
            </w:r>
          </w:p>
        </w:tc>
        <w:tc>
          <w:tcPr>
            <w:tcW w:w="2460" w:type="dxa"/>
            <w:vAlign w:val="center"/>
          </w:tcPr>
          <w:p>
            <w:pPr>
              <w:jc w:val="right"/>
            </w:pPr>
            <w:r>
              <w:rPr>
                <w:rFonts w:ascii="宋体" w:hAnsi="宋体" w:eastAsia="宋体" w:cs="宋体"/>
                <w:b w:val="0"/>
                <w:i w:val="0"/>
                <w:color w:val="000000"/>
                <w:sz w:val="28"/>
              </w:rPr>
              <w:t>2,140.76</w:t>
            </w:r>
          </w:p>
        </w:tc>
        <w:tc>
          <w:tcPr>
            <w:tcW w:w="2460" w:type="dxa"/>
            <w:vAlign w:val="center"/>
          </w:tcPr>
          <w:p>
            <w:pPr>
              <w:jc w:val="right"/>
            </w:pPr>
            <w:r>
              <w:rPr>
                <w:rFonts w:ascii="宋体" w:hAnsi="宋体" w:eastAsia="宋体" w:cs="宋体"/>
                <w:b w:val="0"/>
                <w:i w:val="0"/>
                <w:color w:val="000000"/>
                <w:sz w:val="28"/>
              </w:rPr>
              <w:t>1,612.99</w:t>
            </w:r>
          </w:p>
        </w:tc>
        <w:tc>
          <w:tcPr>
            <w:tcW w:w="2478" w:type="dxa"/>
            <w:vAlign w:val="center"/>
          </w:tcPr>
          <w:p>
            <w:pPr>
              <w:jc w:val="right"/>
            </w:pPr>
            <w:r>
              <w:rPr>
                <w:rFonts w:ascii="宋体" w:hAnsi="宋体" w:eastAsia="宋体" w:cs="宋体"/>
                <w:b w:val="0"/>
                <w:i w:val="0"/>
                <w:color w:val="000000"/>
                <w:sz w:val="28"/>
              </w:rPr>
              <w:t>527.77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2040401</w:t>
            </w:r>
          </w:p>
        </w:tc>
        <w:tc>
          <w:tcPr>
            <w:tcW w:w="5360" w:type="dxa"/>
            <w:vAlign w:val="center"/>
          </w:tcPr>
          <w:p>
            <w:pPr>
              <w:jc w:val="left"/>
            </w:pPr>
            <w:r>
              <w:rPr>
                <w:rFonts w:ascii="宋体" w:hAnsi="宋体" w:eastAsia="宋体" w:cs="宋体"/>
                <w:b w:val="0"/>
                <w:i w:val="0"/>
                <w:color w:val="000000"/>
                <w:sz w:val="28"/>
              </w:rPr>
              <w:t>行政运行</w:t>
            </w:r>
          </w:p>
        </w:tc>
        <w:tc>
          <w:tcPr>
            <w:tcW w:w="2460" w:type="dxa"/>
            <w:vAlign w:val="center"/>
          </w:tcPr>
          <w:p>
            <w:pPr>
              <w:jc w:val="right"/>
            </w:pPr>
            <w:r>
              <w:rPr>
                <w:rFonts w:ascii="宋体" w:hAnsi="宋体" w:eastAsia="宋体" w:cs="宋体"/>
                <w:b w:val="0"/>
                <w:i w:val="0"/>
                <w:color w:val="000000"/>
                <w:sz w:val="28"/>
              </w:rPr>
              <w:t>1,612.99</w:t>
            </w:r>
          </w:p>
        </w:tc>
        <w:tc>
          <w:tcPr>
            <w:tcW w:w="2460" w:type="dxa"/>
            <w:vAlign w:val="center"/>
          </w:tcPr>
          <w:p>
            <w:pPr>
              <w:jc w:val="right"/>
            </w:pPr>
            <w:r>
              <w:rPr>
                <w:rFonts w:ascii="宋体" w:hAnsi="宋体" w:eastAsia="宋体" w:cs="宋体"/>
                <w:b w:val="0"/>
                <w:i w:val="0"/>
                <w:color w:val="000000"/>
                <w:sz w:val="28"/>
              </w:rPr>
              <w:t>1,612.99</w:t>
            </w:r>
          </w:p>
        </w:tc>
        <w:tc>
          <w:tcPr>
            <w:tcW w:w="2478" w:type="dxa"/>
            <w:vAlign w:val="center"/>
          </w:tcPr>
          <w:p>
            <w:pPr>
              <w:jc w:val="right"/>
            </w:pPr>
            <w:r>
              <w:rPr>
                <w:rFonts w:ascii="宋体" w:hAnsi="宋体" w:eastAsia="宋体" w:cs="宋体"/>
                <w:b w:val="0"/>
                <w:i w:val="0"/>
                <w:color w:val="000000"/>
                <w:sz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2040402</w:t>
            </w:r>
          </w:p>
        </w:tc>
        <w:tc>
          <w:tcPr>
            <w:tcW w:w="5360" w:type="dxa"/>
            <w:vAlign w:val="center"/>
          </w:tcPr>
          <w:p>
            <w:pPr>
              <w:jc w:val="left"/>
            </w:pPr>
            <w:r>
              <w:rPr>
                <w:rFonts w:ascii="宋体" w:hAnsi="宋体" w:eastAsia="宋体" w:cs="宋体"/>
                <w:b w:val="0"/>
                <w:i w:val="0"/>
                <w:color w:val="000000"/>
                <w:sz w:val="28"/>
              </w:rPr>
              <w:t>一般行政管理事务</w:t>
            </w:r>
          </w:p>
        </w:tc>
        <w:tc>
          <w:tcPr>
            <w:tcW w:w="2460" w:type="dxa"/>
            <w:vAlign w:val="center"/>
          </w:tcPr>
          <w:p>
            <w:pPr>
              <w:jc w:val="right"/>
            </w:pPr>
            <w:r>
              <w:rPr>
                <w:rFonts w:ascii="宋体" w:hAnsi="宋体" w:eastAsia="宋体" w:cs="宋体"/>
                <w:b w:val="0"/>
                <w:i w:val="0"/>
                <w:color w:val="000000"/>
                <w:sz w:val="28"/>
              </w:rPr>
              <w:t>181.38</w:t>
            </w:r>
          </w:p>
        </w:tc>
        <w:tc>
          <w:tcPr>
            <w:tcW w:w="2460" w:type="dxa"/>
            <w:vAlign w:val="center"/>
          </w:tcPr>
          <w:p>
            <w:pPr>
              <w:jc w:val="right"/>
            </w:pPr>
            <w:r>
              <w:rPr>
                <w:rFonts w:ascii="宋体" w:hAnsi="宋体" w:eastAsia="宋体" w:cs="宋体"/>
                <w:b w:val="0"/>
                <w:i w:val="0"/>
                <w:color w:val="000000"/>
                <w:sz w:val="28"/>
              </w:rPr>
              <w:t>0.00</w:t>
            </w:r>
          </w:p>
        </w:tc>
        <w:tc>
          <w:tcPr>
            <w:tcW w:w="2478" w:type="dxa"/>
            <w:vAlign w:val="center"/>
          </w:tcPr>
          <w:p>
            <w:pPr>
              <w:jc w:val="right"/>
            </w:pPr>
            <w:r>
              <w:rPr>
                <w:rFonts w:ascii="宋体" w:hAnsi="宋体" w:eastAsia="宋体" w:cs="宋体"/>
                <w:b w:val="0"/>
                <w:i w:val="0"/>
                <w:color w:val="000000"/>
                <w:sz w:val="28"/>
              </w:rPr>
              <w:t>181.38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2040499</w:t>
            </w:r>
          </w:p>
        </w:tc>
        <w:tc>
          <w:tcPr>
            <w:tcW w:w="5360" w:type="dxa"/>
            <w:vAlign w:val="center"/>
          </w:tcPr>
          <w:p>
            <w:pPr>
              <w:jc w:val="left"/>
            </w:pPr>
            <w:r>
              <w:rPr>
                <w:rFonts w:ascii="宋体" w:hAnsi="宋体" w:eastAsia="宋体" w:cs="宋体"/>
                <w:b w:val="0"/>
                <w:i w:val="0"/>
                <w:color w:val="000000"/>
                <w:sz w:val="28"/>
              </w:rPr>
              <w:t>其他检察支出</w:t>
            </w:r>
          </w:p>
        </w:tc>
        <w:tc>
          <w:tcPr>
            <w:tcW w:w="2460" w:type="dxa"/>
            <w:vAlign w:val="center"/>
          </w:tcPr>
          <w:p>
            <w:pPr>
              <w:jc w:val="right"/>
            </w:pPr>
            <w:r>
              <w:rPr>
                <w:rFonts w:ascii="宋体" w:hAnsi="宋体" w:eastAsia="宋体" w:cs="宋体"/>
                <w:b w:val="0"/>
                <w:i w:val="0"/>
                <w:color w:val="000000"/>
                <w:sz w:val="28"/>
              </w:rPr>
              <w:t>346.39</w:t>
            </w:r>
          </w:p>
        </w:tc>
        <w:tc>
          <w:tcPr>
            <w:tcW w:w="2460" w:type="dxa"/>
            <w:vAlign w:val="center"/>
          </w:tcPr>
          <w:p>
            <w:pPr>
              <w:jc w:val="right"/>
            </w:pPr>
            <w:r>
              <w:rPr>
                <w:rFonts w:ascii="宋体" w:hAnsi="宋体" w:eastAsia="宋体" w:cs="宋体"/>
                <w:b w:val="0"/>
                <w:i w:val="0"/>
                <w:color w:val="000000"/>
                <w:sz w:val="28"/>
              </w:rPr>
              <w:t>0.00</w:t>
            </w:r>
          </w:p>
        </w:tc>
        <w:tc>
          <w:tcPr>
            <w:tcW w:w="2478" w:type="dxa"/>
            <w:vAlign w:val="center"/>
          </w:tcPr>
          <w:p>
            <w:pPr>
              <w:jc w:val="right"/>
            </w:pPr>
            <w:r>
              <w:rPr>
                <w:rFonts w:ascii="宋体" w:hAnsi="宋体" w:eastAsia="宋体" w:cs="宋体"/>
                <w:b w:val="0"/>
                <w:i w:val="0"/>
                <w:color w:val="000000"/>
                <w:sz w:val="28"/>
              </w:rPr>
              <w:t>346.39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221</w:t>
            </w:r>
          </w:p>
        </w:tc>
        <w:tc>
          <w:tcPr>
            <w:tcW w:w="5360" w:type="dxa"/>
            <w:vAlign w:val="center"/>
          </w:tcPr>
          <w:p>
            <w:pPr>
              <w:jc w:val="left"/>
            </w:pPr>
            <w:r>
              <w:rPr>
                <w:rFonts w:ascii="宋体" w:hAnsi="宋体" w:eastAsia="宋体" w:cs="宋体"/>
                <w:b w:val="0"/>
                <w:i w:val="0"/>
                <w:color w:val="000000"/>
                <w:sz w:val="28"/>
              </w:rPr>
              <w:t>住房保障支出</w:t>
            </w:r>
          </w:p>
        </w:tc>
        <w:tc>
          <w:tcPr>
            <w:tcW w:w="2460" w:type="dxa"/>
            <w:vAlign w:val="center"/>
          </w:tcPr>
          <w:p>
            <w:pPr>
              <w:jc w:val="right"/>
            </w:pPr>
            <w:r>
              <w:rPr>
                <w:rFonts w:ascii="宋体" w:hAnsi="宋体" w:eastAsia="宋体" w:cs="宋体"/>
                <w:b w:val="0"/>
                <w:i w:val="0"/>
                <w:color w:val="000000"/>
                <w:sz w:val="28"/>
              </w:rPr>
              <w:t>107.89</w:t>
            </w:r>
          </w:p>
        </w:tc>
        <w:tc>
          <w:tcPr>
            <w:tcW w:w="2460" w:type="dxa"/>
            <w:vAlign w:val="center"/>
          </w:tcPr>
          <w:p>
            <w:pPr>
              <w:jc w:val="right"/>
            </w:pPr>
            <w:r>
              <w:rPr>
                <w:rFonts w:ascii="宋体" w:hAnsi="宋体" w:eastAsia="宋体" w:cs="宋体"/>
                <w:b w:val="0"/>
                <w:i w:val="0"/>
                <w:color w:val="000000"/>
                <w:sz w:val="28"/>
              </w:rPr>
              <w:t>107.89</w:t>
            </w:r>
          </w:p>
        </w:tc>
        <w:tc>
          <w:tcPr>
            <w:tcW w:w="2478" w:type="dxa"/>
            <w:vAlign w:val="center"/>
          </w:tcPr>
          <w:p>
            <w:pPr>
              <w:jc w:val="right"/>
            </w:pPr>
            <w:r>
              <w:rPr>
                <w:rFonts w:ascii="宋体" w:hAnsi="宋体" w:eastAsia="宋体" w:cs="宋体"/>
                <w:b w:val="0"/>
                <w:i w:val="0"/>
                <w:color w:val="000000"/>
                <w:sz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22102</w:t>
            </w:r>
          </w:p>
        </w:tc>
        <w:tc>
          <w:tcPr>
            <w:tcW w:w="5360" w:type="dxa"/>
            <w:vAlign w:val="center"/>
          </w:tcPr>
          <w:p>
            <w:pPr>
              <w:jc w:val="left"/>
            </w:pPr>
            <w:r>
              <w:rPr>
                <w:rFonts w:ascii="宋体" w:hAnsi="宋体" w:eastAsia="宋体" w:cs="宋体"/>
                <w:b w:val="0"/>
                <w:i w:val="0"/>
                <w:color w:val="000000"/>
                <w:sz w:val="28"/>
              </w:rPr>
              <w:t>住房改革支出</w:t>
            </w:r>
          </w:p>
        </w:tc>
        <w:tc>
          <w:tcPr>
            <w:tcW w:w="2460" w:type="dxa"/>
            <w:vAlign w:val="center"/>
          </w:tcPr>
          <w:p>
            <w:pPr>
              <w:jc w:val="right"/>
            </w:pPr>
            <w:r>
              <w:rPr>
                <w:rFonts w:ascii="宋体" w:hAnsi="宋体" w:eastAsia="宋体" w:cs="宋体"/>
                <w:b w:val="0"/>
                <w:i w:val="0"/>
                <w:color w:val="000000"/>
                <w:sz w:val="28"/>
              </w:rPr>
              <w:t>107.89</w:t>
            </w:r>
          </w:p>
        </w:tc>
        <w:tc>
          <w:tcPr>
            <w:tcW w:w="2460" w:type="dxa"/>
            <w:vAlign w:val="center"/>
          </w:tcPr>
          <w:p>
            <w:pPr>
              <w:jc w:val="right"/>
            </w:pPr>
            <w:r>
              <w:rPr>
                <w:rFonts w:ascii="宋体" w:hAnsi="宋体" w:eastAsia="宋体" w:cs="宋体"/>
                <w:b w:val="0"/>
                <w:i w:val="0"/>
                <w:color w:val="000000"/>
                <w:sz w:val="28"/>
              </w:rPr>
              <w:t>107.89</w:t>
            </w:r>
          </w:p>
        </w:tc>
        <w:tc>
          <w:tcPr>
            <w:tcW w:w="2478" w:type="dxa"/>
            <w:vAlign w:val="center"/>
          </w:tcPr>
          <w:p>
            <w:pPr>
              <w:jc w:val="right"/>
            </w:pPr>
            <w:r>
              <w:rPr>
                <w:rFonts w:ascii="宋体" w:hAnsi="宋体" w:eastAsia="宋体" w:cs="宋体"/>
                <w:b w:val="0"/>
                <w:i w:val="0"/>
                <w:color w:val="000000"/>
                <w:sz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pPr>
              <w:jc w:val="left"/>
            </w:pPr>
            <w:r>
              <w:rPr>
                <w:rFonts w:ascii="宋体" w:hAnsi="宋体" w:eastAsia="宋体" w:cs="宋体"/>
                <w:b w:val="0"/>
                <w:i w:val="0"/>
                <w:color w:val="000000"/>
                <w:sz w:val="28"/>
              </w:rPr>
              <w:t>2210201</w:t>
            </w:r>
          </w:p>
        </w:tc>
        <w:tc>
          <w:tcPr>
            <w:tcW w:w="5360" w:type="dxa"/>
            <w:vAlign w:val="center"/>
          </w:tcPr>
          <w:p>
            <w:pPr>
              <w:jc w:val="left"/>
            </w:pPr>
            <w:r>
              <w:rPr>
                <w:rFonts w:ascii="宋体" w:hAnsi="宋体" w:eastAsia="宋体" w:cs="宋体"/>
                <w:b w:val="0"/>
                <w:i w:val="0"/>
                <w:color w:val="000000"/>
                <w:sz w:val="28"/>
              </w:rPr>
              <w:t>住房公积金</w:t>
            </w:r>
          </w:p>
        </w:tc>
        <w:tc>
          <w:tcPr>
            <w:tcW w:w="2460" w:type="dxa"/>
            <w:vAlign w:val="center"/>
          </w:tcPr>
          <w:p>
            <w:pPr>
              <w:jc w:val="right"/>
            </w:pPr>
            <w:r>
              <w:rPr>
                <w:rFonts w:ascii="宋体" w:hAnsi="宋体" w:eastAsia="宋体" w:cs="宋体"/>
                <w:b w:val="0"/>
                <w:i w:val="0"/>
                <w:color w:val="000000"/>
                <w:sz w:val="28"/>
              </w:rPr>
              <w:t>107.89</w:t>
            </w:r>
          </w:p>
        </w:tc>
        <w:tc>
          <w:tcPr>
            <w:tcW w:w="2460" w:type="dxa"/>
            <w:vAlign w:val="center"/>
          </w:tcPr>
          <w:p>
            <w:pPr>
              <w:jc w:val="right"/>
            </w:pPr>
            <w:r>
              <w:rPr>
                <w:rFonts w:ascii="宋体" w:hAnsi="宋体" w:eastAsia="宋体" w:cs="宋体"/>
                <w:b w:val="0"/>
                <w:i w:val="0"/>
                <w:color w:val="000000"/>
                <w:sz w:val="28"/>
              </w:rPr>
              <w:t>107.89</w:t>
            </w:r>
          </w:p>
        </w:tc>
        <w:tc>
          <w:tcPr>
            <w:tcW w:w="2478" w:type="dxa"/>
            <w:vAlign w:val="center"/>
          </w:tcPr>
          <w:p>
            <w:pPr>
              <w:jc w:val="right"/>
            </w:pPr>
            <w:r>
              <w:rPr>
                <w:rFonts w:ascii="宋体" w:hAnsi="宋体" w:eastAsia="宋体" w:cs="宋体"/>
                <w:b w:val="0"/>
                <w:i w:val="0"/>
                <w:color w:val="000000"/>
                <w:sz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395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6"/>
              </w:rPr>
              <w:t>注：本表反映本年度一般公共预算财政拨款支出情况。</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134" w:right="1440" w:bottom="1134" w:left="1440" w:header="720" w:footer="720" w:gutter="0"/>
          <w:pgNumType w:fmt="decimal"/>
          <w:cols w:space="425" w:num="1"/>
          <w:docGrid w:type="lines" w:linePitch="312" w:charSpace="0"/>
        </w:sectPr>
      </w:pPr>
    </w:p>
    <w:p>
      <w:pPr>
        <w:pStyle w:val="3"/>
        <w:bidi w:val="0"/>
        <w:jc w:val="center"/>
        <w:rPr>
          <w:rFonts w:hint="eastAsia" w:ascii="黑体" w:hAnsi="黑体" w:eastAsia="黑体" w:cs="黑体"/>
          <w:szCs w:val="36"/>
          <w:lang w:val="en-US" w:eastAsia="zh-CN"/>
        </w:rPr>
      </w:pPr>
      <w:bookmarkStart w:id="16" w:name="_Toc_1_2_0000000043"/>
      <w:r>
        <w:rPr>
          <w:rFonts w:hint="eastAsia" w:ascii="楷体" w:hAnsi="楷体" w:eastAsia="楷体" w:cs="楷体"/>
          <w:b w:val="0"/>
          <w:bCs/>
          <w:lang w:val="en-US" w:eastAsia="zh-CN"/>
        </w:rPr>
        <w:t>2023年度一般公共预算财政拨款基本支出决算明细表</w:t>
      </w:r>
      <w:bookmarkEnd w:id="16"/>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部门：庆元县人民检察院（汇总）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4600" w:type="dxa"/>
            <w:gridSpan w:val="3"/>
            <w:vAlign w:val="center"/>
          </w:tcPr>
          <w:p>
            <w:pPr>
              <w:jc w:val="center"/>
            </w:pPr>
            <w:r>
              <w:rPr>
                <w:rFonts w:ascii="宋体" w:hAnsi="宋体" w:eastAsia="宋体" w:cs="宋体"/>
                <w:b w:val="0"/>
                <w:i w:val="0"/>
                <w:color w:val="000000"/>
                <w:sz w:val="16"/>
              </w:rPr>
              <w:t>人员经费</w:t>
            </w:r>
          </w:p>
        </w:tc>
        <w:tc>
          <w:tcPr>
            <w:tcW w:w="9358"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1,463.57</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204.00</w:t>
            </w:r>
          </w:p>
        </w:tc>
        <w:tc>
          <w:tcPr>
            <w:tcW w:w="560" w:type="dxa"/>
            <w:vAlign w:val="center"/>
          </w:tcPr>
          <w:p>
            <w:pPr>
              <w:jc w:val="left"/>
            </w:pPr>
            <w:r>
              <w:rPr>
                <w:rFonts w:ascii="宋体" w:hAnsi="宋体" w:eastAsia="宋体" w:cs="宋体"/>
                <w:b w:val="0"/>
                <w:i w:val="0"/>
                <w:color w:val="000000"/>
                <w:sz w:val="16"/>
              </w:rPr>
              <w:t>30703</w:t>
            </w:r>
          </w:p>
        </w:tc>
        <w:tc>
          <w:tcPr>
            <w:tcW w:w="3420" w:type="dxa"/>
            <w:vAlign w:val="center"/>
          </w:tcPr>
          <w:p>
            <w:pPr>
              <w:jc w:val="left"/>
            </w:pPr>
            <w:r>
              <w:rPr>
                <w:rFonts w:ascii="宋体" w:hAnsi="宋体" w:eastAsia="宋体" w:cs="宋体"/>
                <w:b w:val="0"/>
                <w:i w:val="0"/>
                <w:color w:val="000000"/>
                <w:sz w:val="16"/>
              </w:rPr>
              <w:t xml:space="preserve">  国内债务发行费用</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193.98</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38.71</w:t>
            </w:r>
          </w:p>
        </w:tc>
        <w:tc>
          <w:tcPr>
            <w:tcW w:w="560" w:type="dxa"/>
            <w:vAlign w:val="center"/>
          </w:tcPr>
          <w:p>
            <w:pPr>
              <w:jc w:val="left"/>
            </w:pPr>
            <w:r>
              <w:rPr>
                <w:rFonts w:ascii="宋体" w:hAnsi="宋体" w:eastAsia="宋体" w:cs="宋体"/>
                <w:b w:val="0"/>
                <w:i w:val="0"/>
                <w:color w:val="000000"/>
                <w:sz w:val="16"/>
              </w:rPr>
              <w:t>30704</w:t>
            </w:r>
          </w:p>
        </w:tc>
        <w:tc>
          <w:tcPr>
            <w:tcW w:w="3420" w:type="dxa"/>
            <w:vAlign w:val="center"/>
          </w:tcPr>
          <w:p>
            <w:pPr>
              <w:jc w:val="left"/>
            </w:pPr>
            <w:r>
              <w:rPr>
                <w:rFonts w:ascii="宋体" w:hAnsi="宋体" w:eastAsia="宋体" w:cs="宋体"/>
                <w:b w:val="0"/>
                <w:i w:val="0"/>
                <w:color w:val="000000"/>
                <w:sz w:val="16"/>
              </w:rPr>
              <w:t xml:space="preserve">  国外债务发行费用</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235.00</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532.00</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13.08</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10.74</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0.64</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88.15</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0.02</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43.08</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3.29</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47.13</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58.32</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6.67</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0.13</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110.89</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1.59</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124.53</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53.30</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4.70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25.09</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28.21</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312</w:t>
            </w:r>
          </w:p>
        </w:tc>
        <w:tc>
          <w:tcPr>
            <w:tcW w:w="3420" w:type="dxa"/>
            <w:vAlign w:val="center"/>
          </w:tcPr>
          <w:p>
            <w:pPr>
              <w:jc w:val="left"/>
            </w:pPr>
            <w:r>
              <w:rPr>
                <w:rFonts w:ascii="宋体" w:hAnsi="宋体" w:eastAsia="宋体" w:cs="宋体"/>
                <w:b w:val="0"/>
                <w:i w:val="0"/>
                <w:color w:val="000000"/>
                <w:sz w:val="16"/>
              </w:rPr>
              <w:t>对企业补助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8.46</w:t>
            </w:r>
          </w:p>
        </w:tc>
        <w:tc>
          <w:tcPr>
            <w:tcW w:w="560" w:type="dxa"/>
            <w:vAlign w:val="center"/>
          </w:tcPr>
          <w:p>
            <w:pPr>
              <w:jc w:val="left"/>
            </w:pPr>
            <w:r>
              <w:rPr>
                <w:rFonts w:ascii="宋体" w:hAnsi="宋体" w:eastAsia="宋体" w:cs="宋体"/>
                <w:b w:val="0"/>
                <w:i w:val="0"/>
                <w:color w:val="000000"/>
                <w:sz w:val="16"/>
              </w:rPr>
              <w:t>31201</w:t>
            </w:r>
          </w:p>
        </w:tc>
        <w:tc>
          <w:tcPr>
            <w:tcW w:w="3420" w:type="dxa"/>
            <w:vAlign w:val="center"/>
          </w:tcPr>
          <w:p>
            <w:pPr>
              <w:jc w:val="left"/>
            </w:pPr>
            <w:r>
              <w:rPr>
                <w:rFonts w:ascii="宋体" w:hAnsi="宋体" w:eastAsia="宋体" w:cs="宋体"/>
                <w:b w:val="0"/>
                <w:i w:val="0"/>
                <w:color w:val="000000"/>
                <w:sz w:val="16"/>
              </w:rPr>
              <w:t xml:space="preserve">  资本金注入</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14.28</w:t>
            </w:r>
          </w:p>
        </w:tc>
        <w:tc>
          <w:tcPr>
            <w:tcW w:w="560" w:type="dxa"/>
            <w:vAlign w:val="center"/>
          </w:tcPr>
          <w:p>
            <w:pPr>
              <w:jc w:val="left"/>
            </w:pPr>
            <w:r>
              <w:rPr>
                <w:rFonts w:ascii="宋体" w:hAnsi="宋体" w:eastAsia="宋体" w:cs="宋体"/>
                <w:b w:val="0"/>
                <w:i w:val="0"/>
                <w:color w:val="000000"/>
                <w:sz w:val="16"/>
              </w:rPr>
              <w:t>31203</w:t>
            </w:r>
          </w:p>
        </w:tc>
        <w:tc>
          <w:tcPr>
            <w:tcW w:w="3420" w:type="dxa"/>
            <w:vAlign w:val="center"/>
          </w:tcPr>
          <w:p>
            <w:pPr>
              <w:jc w:val="left"/>
            </w:pPr>
            <w:r>
              <w:rPr>
                <w:rFonts w:ascii="宋体" w:hAnsi="宋体" w:eastAsia="宋体" w:cs="宋体"/>
                <w:b w:val="0"/>
                <w:i w:val="0"/>
                <w:color w:val="000000"/>
                <w:sz w:val="16"/>
              </w:rPr>
              <w:t xml:space="preserve">  政府投资基金股权投资</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18.08</w:t>
            </w:r>
          </w:p>
        </w:tc>
        <w:tc>
          <w:tcPr>
            <w:tcW w:w="560" w:type="dxa"/>
            <w:vAlign w:val="center"/>
          </w:tcPr>
          <w:p>
            <w:pPr>
              <w:jc w:val="left"/>
            </w:pPr>
            <w:r>
              <w:rPr>
                <w:rFonts w:ascii="宋体" w:hAnsi="宋体" w:eastAsia="宋体" w:cs="宋体"/>
                <w:b w:val="0"/>
                <w:i w:val="0"/>
                <w:color w:val="000000"/>
                <w:sz w:val="16"/>
              </w:rPr>
              <w:t>31204</w:t>
            </w:r>
          </w:p>
        </w:tc>
        <w:tc>
          <w:tcPr>
            <w:tcW w:w="3420" w:type="dxa"/>
            <w:vAlign w:val="center"/>
          </w:tcPr>
          <w:p>
            <w:pPr>
              <w:jc w:val="left"/>
            </w:pPr>
            <w:r>
              <w:rPr>
                <w:rFonts w:ascii="宋体" w:hAnsi="宋体" w:eastAsia="宋体" w:cs="宋体"/>
                <w:b w:val="0"/>
                <w:i w:val="0"/>
                <w:color w:val="000000"/>
                <w:sz w:val="16"/>
              </w:rPr>
              <w:t xml:space="preserve">  费用补贴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48.41</w:t>
            </w:r>
          </w:p>
        </w:tc>
        <w:tc>
          <w:tcPr>
            <w:tcW w:w="560" w:type="dxa"/>
            <w:vAlign w:val="center"/>
          </w:tcPr>
          <w:p>
            <w:pPr>
              <w:jc w:val="left"/>
            </w:pPr>
            <w:r>
              <w:rPr>
                <w:rFonts w:ascii="宋体" w:hAnsi="宋体" w:eastAsia="宋体" w:cs="宋体"/>
                <w:b w:val="0"/>
                <w:i w:val="0"/>
                <w:color w:val="000000"/>
                <w:sz w:val="16"/>
              </w:rPr>
              <w:t>31205</w:t>
            </w:r>
          </w:p>
        </w:tc>
        <w:tc>
          <w:tcPr>
            <w:tcW w:w="3420" w:type="dxa"/>
            <w:vAlign w:val="center"/>
          </w:tcPr>
          <w:p>
            <w:pPr>
              <w:jc w:val="left"/>
            </w:pPr>
            <w:r>
              <w:rPr>
                <w:rFonts w:ascii="宋体" w:hAnsi="宋体" w:eastAsia="宋体" w:cs="宋体"/>
                <w:b w:val="0"/>
                <w:i w:val="0"/>
                <w:color w:val="000000"/>
                <w:sz w:val="16"/>
              </w:rPr>
              <w:t xml:space="preserve">  利息补贴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0.50</w:t>
            </w:r>
          </w:p>
        </w:tc>
        <w:tc>
          <w:tcPr>
            <w:tcW w:w="560" w:type="dxa"/>
            <w:vAlign w:val="center"/>
          </w:tcPr>
          <w:p>
            <w:pPr>
              <w:jc w:val="left"/>
            </w:pPr>
            <w:r>
              <w:rPr>
                <w:rFonts w:ascii="宋体" w:hAnsi="宋体" w:eastAsia="宋体" w:cs="宋体"/>
                <w:b w:val="0"/>
                <w:i w:val="0"/>
                <w:color w:val="000000"/>
                <w:sz w:val="16"/>
              </w:rPr>
              <w:t>31299</w:t>
            </w:r>
          </w:p>
        </w:tc>
        <w:tc>
          <w:tcPr>
            <w:tcW w:w="3420" w:type="dxa"/>
            <w:vAlign w:val="center"/>
          </w:tcPr>
          <w:p>
            <w:pPr>
              <w:jc w:val="left"/>
            </w:pPr>
            <w:r>
              <w:rPr>
                <w:rFonts w:ascii="宋体" w:hAnsi="宋体" w:eastAsia="宋体" w:cs="宋体"/>
                <w:b w:val="0"/>
                <w:i w:val="0"/>
                <w:color w:val="000000"/>
                <w:sz w:val="16"/>
              </w:rPr>
              <w:t xml:space="preserve">  其他对企业补助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34.12</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31.06</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307</w:t>
            </w:r>
          </w:p>
        </w:tc>
        <w:tc>
          <w:tcPr>
            <w:tcW w:w="2100" w:type="dxa"/>
            <w:vAlign w:val="center"/>
          </w:tcPr>
          <w:p>
            <w:pPr>
              <w:jc w:val="left"/>
            </w:pPr>
            <w:r>
              <w:rPr>
                <w:rFonts w:ascii="宋体" w:hAnsi="宋体" w:eastAsia="宋体" w:cs="宋体"/>
                <w:b w:val="0"/>
                <w:i w:val="0"/>
                <w:color w:val="000000"/>
                <w:sz w:val="16"/>
              </w:rPr>
              <w:t>债务利息及费用支出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30701</w:t>
            </w:r>
          </w:p>
        </w:tc>
        <w:tc>
          <w:tcPr>
            <w:tcW w:w="2100" w:type="dxa"/>
            <w:vAlign w:val="center"/>
          </w:tcPr>
          <w:p>
            <w:pPr>
              <w:jc w:val="left"/>
            </w:pPr>
            <w:r>
              <w:rPr>
                <w:rFonts w:ascii="宋体" w:hAnsi="宋体" w:eastAsia="宋体" w:cs="宋体"/>
                <w:b w:val="0"/>
                <w:i w:val="0"/>
                <w:color w:val="000000"/>
                <w:sz w:val="16"/>
              </w:rPr>
              <w:t xml:space="preserve">  国内债务付息</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30702</w:t>
            </w:r>
          </w:p>
        </w:tc>
        <w:tc>
          <w:tcPr>
            <w:tcW w:w="2100" w:type="dxa"/>
            <w:vAlign w:val="center"/>
          </w:tcPr>
          <w:p>
            <w:pPr>
              <w:jc w:val="left"/>
            </w:pPr>
            <w:r>
              <w:rPr>
                <w:rFonts w:ascii="宋体" w:hAnsi="宋体" w:eastAsia="宋体" w:cs="宋体"/>
                <w:b w:val="0"/>
                <w:i w:val="0"/>
                <w:color w:val="000000"/>
                <w:sz w:val="16"/>
              </w:rPr>
              <w:t xml:space="preserve">  国外债务付息</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tc>
        <w:tc>
          <w:tcPr>
            <w:tcW w:w="2100" w:type="dxa"/>
            <w:vAlign w:val="center"/>
          </w:tcPr>
          <w:p/>
        </w:tc>
        <w:tc>
          <w:tcPr>
            <w:tcW w:w="1360" w:type="dxa"/>
            <w:vAlign w:val="center"/>
          </w:tcP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324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1,516.87</w:t>
            </w:r>
          </w:p>
        </w:tc>
        <w:tc>
          <w:tcPr>
            <w:tcW w:w="800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204.00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13958"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注：本表反映本年度一般公共预算财政拨款基本支出明细情况。</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134" w:right="1440" w:bottom="1134" w:left="1440" w:header="720" w:footer="720" w:gutter="0"/>
          <w:pgNumType w:fmt="decimal"/>
          <w:cols w:space="425" w:num="1"/>
          <w:docGrid w:type="lines" w:linePitch="312" w:charSpace="0"/>
        </w:sectPr>
      </w:pPr>
    </w:p>
    <w:p>
      <w:pPr>
        <w:pStyle w:val="3"/>
        <w:bidi w:val="0"/>
        <w:jc w:val="center"/>
        <w:rPr>
          <w:rFonts w:hint="eastAsia" w:ascii="楷体" w:hAnsi="楷体" w:eastAsia="楷体" w:cs="楷体"/>
          <w:b w:val="0"/>
          <w:bCs/>
          <w:lang w:val="en-US" w:eastAsia="zh-CN"/>
        </w:rPr>
      </w:pPr>
      <w:bookmarkStart w:id="17" w:name="_Toc_1_2_0000000044"/>
      <w:r>
        <w:rPr>
          <w:rFonts w:hint="eastAsia" w:ascii="楷体" w:hAnsi="楷体" w:eastAsia="楷体" w:cs="楷体"/>
          <w:b w:val="0"/>
          <w:bCs/>
          <w:lang w:val="en-US" w:eastAsia="zh-CN"/>
        </w:rPr>
        <w:t>2023年度政府性基金预算财政拨款收入支出决算表</w:t>
      </w:r>
      <w:bookmarkEnd w:id="17"/>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部门：庆元县人民检察院（汇总）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00"/>
        <w:gridCol w:w="300"/>
        <w:gridCol w:w="3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4380" w:type="dxa"/>
            <w:gridSpan w:val="4"/>
            <w:vAlign w:val="center"/>
          </w:tcPr>
          <w:p>
            <w:pPr>
              <w:jc w:val="center"/>
            </w:pPr>
            <w:r>
              <w:rPr>
                <w:rFonts w:ascii="宋体" w:hAnsi="宋体" w:eastAsia="宋体" w:cs="宋体"/>
                <w:b w:val="0"/>
                <w:i w:val="0"/>
                <w:color w:val="000000"/>
                <w:sz w:val="19"/>
              </w:rPr>
              <w:t>项   目</w:t>
            </w:r>
          </w:p>
        </w:tc>
        <w:tc>
          <w:tcPr>
            <w:tcW w:w="1600" w:type="dxa"/>
            <w:vMerge w:val="restart"/>
            <w:vAlign w:val="center"/>
          </w:tcPr>
          <w:p>
            <w:pPr>
              <w:jc w:val="center"/>
            </w:pPr>
            <w:r>
              <w:rPr>
                <w:rFonts w:ascii="宋体" w:hAnsi="宋体" w:eastAsia="宋体" w:cs="宋体"/>
                <w:b w:val="0"/>
                <w:i w:val="0"/>
                <w:color w:val="000000"/>
                <w:sz w:val="19"/>
              </w:rPr>
              <w:t>年初结转和结余</w:t>
            </w:r>
          </w:p>
        </w:tc>
        <w:tc>
          <w:tcPr>
            <w:tcW w:w="1600" w:type="dxa"/>
            <w:vMerge w:val="restart"/>
            <w:vAlign w:val="center"/>
          </w:tcPr>
          <w:p>
            <w:pPr>
              <w:jc w:val="center"/>
            </w:pPr>
            <w:r>
              <w:rPr>
                <w:rFonts w:ascii="宋体" w:hAnsi="宋体" w:eastAsia="宋体" w:cs="宋体"/>
                <w:b w:val="0"/>
                <w:i w:val="0"/>
                <w:color w:val="000000"/>
                <w:sz w:val="19"/>
              </w:rPr>
              <w:t>本年收入</w:t>
            </w:r>
          </w:p>
        </w:tc>
        <w:tc>
          <w:tcPr>
            <w:tcW w:w="4800" w:type="dxa"/>
            <w:gridSpan w:val="3"/>
            <w:vAlign w:val="center"/>
          </w:tcPr>
          <w:p>
            <w:pPr>
              <w:jc w:val="center"/>
            </w:pPr>
            <w:r>
              <w:rPr>
                <w:rFonts w:ascii="宋体" w:hAnsi="宋体" w:eastAsia="宋体" w:cs="宋体"/>
                <w:b w:val="0"/>
                <w:i w:val="0"/>
                <w:color w:val="000000"/>
                <w:sz w:val="19"/>
              </w:rPr>
              <w:t>本年支出</w:t>
            </w:r>
          </w:p>
        </w:tc>
        <w:tc>
          <w:tcPr>
            <w:tcW w:w="1578" w:type="dxa"/>
            <w:vMerge w:val="restart"/>
            <w:vAlign w:val="center"/>
          </w:tcPr>
          <w:p>
            <w:pPr>
              <w:jc w:val="center"/>
            </w:pPr>
            <w:r>
              <w:rPr>
                <w:rFonts w:ascii="宋体" w:hAnsi="宋体" w:eastAsia="宋体" w:cs="宋体"/>
                <w:b w:val="0"/>
                <w:i w:val="0"/>
                <w:color w:val="000000"/>
                <w:sz w:val="19"/>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Merge w:val="restart"/>
            <w:vAlign w:val="center"/>
          </w:tcPr>
          <w:p>
            <w:pPr>
              <w:jc w:val="center"/>
            </w:pPr>
            <w:r>
              <w:rPr>
                <w:rFonts w:ascii="宋体" w:hAnsi="宋体" w:eastAsia="宋体" w:cs="宋体"/>
                <w:b w:val="0"/>
                <w:i w:val="0"/>
                <w:color w:val="000000"/>
                <w:sz w:val="19"/>
              </w:rPr>
              <w:t>支出功能分类科目编码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restart"/>
            <w:vAlign w:val="center"/>
          </w:tcPr>
          <w:p>
            <w:pPr>
              <w:jc w:val="center"/>
            </w:pPr>
            <w:r>
              <w:rPr>
                <w:rFonts w:ascii="宋体" w:hAnsi="宋体" w:eastAsia="宋体" w:cs="宋体"/>
                <w:b w:val="0"/>
                <w:i w:val="0"/>
                <w:color w:val="000000"/>
                <w:sz w:val="19"/>
              </w:rPr>
              <w:t>小计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类</w:t>
            </w:r>
          </w:p>
        </w:tc>
        <w:tc>
          <w:tcPr>
            <w:tcW w:w="300" w:type="dxa"/>
            <w:vMerge w:val="restart"/>
            <w:vAlign w:val="center"/>
          </w:tcPr>
          <w:p>
            <w:pPr>
              <w:jc w:val="center"/>
            </w:pPr>
            <w:r>
              <w:rPr>
                <w:rFonts w:ascii="宋体" w:hAnsi="宋体" w:eastAsia="宋体" w:cs="宋体"/>
                <w:b w:val="0"/>
                <w:i w:val="0"/>
                <w:color w:val="000000"/>
                <w:sz w:val="19"/>
              </w:rPr>
              <w:t>款</w:t>
            </w:r>
          </w:p>
        </w:tc>
        <w:tc>
          <w:tcPr>
            <w:tcW w:w="300" w:type="dxa"/>
            <w:vMerge w:val="restart"/>
            <w:vAlign w:val="center"/>
          </w:tcPr>
          <w:p>
            <w:pPr>
              <w:jc w:val="center"/>
            </w:pPr>
            <w:r>
              <w:rPr>
                <w:rFonts w:ascii="宋体" w:hAnsi="宋体" w:eastAsia="宋体" w:cs="宋体"/>
                <w:b w:val="0"/>
                <w:i w:val="0"/>
                <w:color w:val="000000"/>
                <w:sz w:val="19"/>
              </w:rPr>
              <w:t>项</w:t>
            </w:r>
          </w:p>
        </w:tc>
        <w:tc>
          <w:tcPr>
            <w:tcW w:w="3480" w:type="dxa"/>
            <w:vAlign w:val="center"/>
          </w:tcPr>
          <w:p>
            <w:pPr>
              <w:jc w:val="center"/>
            </w:pPr>
            <w:r>
              <w:rPr>
                <w:rFonts w:ascii="宋体" w:hAnsi="宋体" w:eastAsia="宋体" w:cs="宋体"/>
                <w:b w:val="0"/>
                <w:i w:val="0"/>
                <w:color w:val="000000"/>
                <w:sz w:val="19"/>
              </w:rPr>
              <w:t>栏   次</w:t>
            </w:r>
          </w:p>
        </w:tc>
        <w:tc>
          <w:tcPr>
            <w:tcW w:w="1600" w:type="dxa"/>
            <w:vAlign w:val="center"/>
          </w:tcPr>
          <w:p>
            <w:pPr>
              <w:jc w:val="center"/>
            </w:pPr>
            <w:r>
              <w:rPr>
                <w:rFonts w:ascii="宋体" w:hAnsi="宋体" w:eastAsia="宋体" w:cs="宋体"/>
                <w:b w:val="0"/>
                <w:i w:val="0"/>
                <w:color w:val="000000"/>
                <w:sz w:val="17"/>
              </w:rPr>
              <w:t>1</w:t>
            </w:r>
          </w:p>
        </w:tc>
        <w:tc>
          <w:tcPr>
            <w:tcW w:w="1600" w:type="dxa"/>
            <w:vAlign w:val="center"/>
          </w:tcPr>
          <w:p>
            <w:pPr>
              <w:jc w:val="center"/>
            </w:pPr>
            <w:r>
              <w:rPr>
                <w:rFonts w:ascii="宋体" w:hAnsi="宋体" w:eastAsia="宋体" w:cs="宋体"/>
                <w:b w:val="0"/>
                <w:i w:val="0"/>
                <w:color w:val="000000"/>
                <w:sz w:val="17"/>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00" w:type="dxa"/>
            <w:vMerge w:val="continue"/>
            <w:vAlign w:val="center"/>
          </w:tcPr>
          <w:p/>
        </w:tc>
        <w:tc>
          <w:tcPr>
            <w:tcW w:w="300" w:type="dxa"/>
            <w:vMerge w:val="continue"/>
            <w:vAlign w:val="center"/>
          </w:tcPr>
          <w:p/>
        </w:tc>
        <w:tc>
          <w:tcPr>
            <w:tcW w:w="3480" w:type="dxa"/>
            <w:vAlign w:val="center"/>
          </w:tcPr>
          <w:p>
            <w:pPr>
              <w:jc w:val="center"/>
            </w:pPr>
            <w:r>
              <w:rPr>
                <w:rFonts w:ascii="宋体" w:hAnsi="宋体" w:eastAsia="宋体" w:cs="宋体"/>
                <w:b w:val="0"/>
                <w:i w:val="0"/>
                <w:color w:val="000000"/>
                <w:sz w:val="19"/>
              </w:rPr>
              <w:t>合计</w:t>
            </w:r>
          </w:p>
        </w:tc>
        <w:tc>
          <w:tcPr>
            <w:tcW w:w="1600" w:type="dxa"/>
            <w:vAlign w:val="center"/>
          </w:tcPr>
          <w:p/>
        </w:tc>
        <w:tc>
          <w:tcPr>
            <w:tcW w:w="1600" w:type="dxa"/>
            <w:vAlign w:val="center"/>
          </w:tcPr>
          <w:p/>
        </w:tc>
        <w:tc>
          <w:tcPr>
            <w:tcW w:w="1600" w:type="dxa"/>
            <w:vAlign w:val="center"/>
          </w:tcPr>
          <w:p/>
        </w:tc>
        <w:tc>
          <w:tcPr>
            <w:tcW w:w="1600" w:type="dxa"/>
            <w:vAlign w:val="center"/>
          </w:tcPr>
          <w:p/>
        </w:tc>
        <w:tc>
          <w:tcPr>
            <w:tcW w:w="1600" w:type="dxa"/>
            <w:vAlign w:val="center"/>
          </w:tcPr>
          <w:p/>
        </w:tc>
        <w:tc>
          <w:tcPr>
            <w:tcW w:w="15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tc>
        <w:tc>
          <w:tcPr>
            <w:tcW w:w="3480" w:type="dxa"/>
            <w:vAlign w:val="center"/>
          </w:tcPr>
          <w:p/>
        </w:tc>
        <w:tc>
          <w:tcPr>
            <w:tcW w:w="1600" w:type="dxa"/>
            <w:vAlign w:val="center"/>
          </w:tcPr>
          <w:p/>
        </w:tc>
        <w:tc>
          <w:tcPr>
            <w:tcW w:w="1600" w:type="dxa"/>
            <w:vAlign w:val="center"/>
          </w:tcPr>
          <w:p/>
        </w:tc>
        <w:tc>
          <w:tcPr>
            <w:tcW w:w="1600" w:type="dxa"/>
            <w:vAlign w:val="center"/>
          </w:tcPr>
          <w:p/>
        </w:tc>
        <w:tc>
          <w:tcPr>
            <w:tcW w:w="1600" w:type="dxa"/>
            <w:vAlign w:val="center"/>
          </w:tcPr>
          <w:p/>
        </w:tc>
        <w:tc>
          <w:tcPr>
            <w:tcW w:w="1600" w:type="dxa"/>
            <w:vAlign w:val="center"/>
          </w:tcPr>
          <w:p/>
        </w:tc>
        <w:tc>
          <w:tcPr>
            <w:tcW w:w="15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13958"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注：本表反映本年度政府性基金预算财政拨款收入、支出及结转和结余情况。</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highlight w:val="none"/>
          <w:lang w:val="en-US" w:eastAsia="zh-CN"/>
        </w:rPr>
        <w:sectPr>
          <w:pgSz w:w="16838" w:h="11906" w:orient="landscape"/>
          <w:pgMar w:top="1134" w:right="1440" w:bottom="1134" w:left="1440" w:header="720" w:footer="720" w:gutter="0"/>
          <w:pgNumType w:fmt="decimal"/>
          <w:cols w:space="425" w:num="1"/>
          <w:docGrid w:type="lines" w:linePitch="312" w:charSpace="0"/>
        </w:sectPr>
      </w:pPr>
      <w:r>
        <w:rPr>
          <w:rFonts w:hint="eastAsia" w:asciiTheme="minorEastAsia" w:hAnsiTheme="minorEastAsia" w:eastAsiaTheme="minorEastAsia" w:cstheme="minorEastAsia"/>
          <w:sz w:val="18"/>
          <w:szCs w:val="18"/>
          <w:highlight w:val="none"/>
        </w:rPr>
        <w:t>说明：本部门没有政府性基金收入，也没有使用政府性基金安排的支出，故本表无数据。</w:t>
      </w:r>
    </w:p>
    <w:p>
      <w:pPr>
        <w:pStyle w:val="3"/>
        <w:bidi w:val="0"/>
        <w:jc w:val="center"/>
        <w:rPr>
          <w:rFonts w:hint="default" w:ascii="华文中宋" w:hAnsi="华文中宋" w:eastAsia="华文中宋" w:cs="华文中宋"/>
          <w:color w:val="000000"/>
          <w:kern w:val="0"/>
          <w:szCs w:val="32"/>
          <w:lang w:val="en-US" w:eastAsia="zh-CN"/>
        </w:rPr>
      </w:pPr>
      <w:bookmarkStart w:id="18" w:name="_Toc_1_2_0000000045"/>
      <w:r>
        <w:rPr>
          <w:rFonts w:hint="eastAsia" w:ascii="楷体" w:hAnsi="楷体" w:eastAsia="楷体" w:cs="楷体"/>
          <w:b w:val="0"/>
          <w:bCs/>
          <w:lang w:val="en-US" w:eastAsia="zh-CN"/>
        </w:rPr>
        <w:t>2023年度国有资本经营预算财政拨款支出决算表</w:t>
      </w:r>
      <w:bookmarkEnd w:id="18"/>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公开10表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部门：庆元县人民检察院（汇总）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00"/>
        <w:gridCol w:w="400"/>
        <w:gridCol w:w="400"/>
        <w:gridCol w:w="5360"/>
        <w:gridCol w:w="2460"/>
        <w:gridCol w:w="2460"/>
        <w:gridCol w:w="2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6560" w:type="dxa"/>
            <w:gridSpan w:val="4"/>
            <w:vAlign w:val="center"/>
          </w:tcPr>
          <w:p>
            <w:pPr>
              <w:jc w:val="center"/>
            </w:pPr>
            <w:r>
              <w:rPr>
                <w:rFonts w:ascii="宋体" w:hAnsi="宋体" w:eastAsia="宋体" w:cs="宋体"/>
                <w:b w:val="0"/>
                <w:i w:val="0"/>
                <w:color w:val="000000"/>
                <w:sz w:val="28"/>
              </w:rPr>
              <w:t>项   目</w:t>
            </w:r>
          </w:p>
        </w:tc>
        <w:tc>
          <w:tcPr>
            <w:tcW w:w="7398"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Merge w:val="restart"/>
            <w:vAlign w:val="center"/>
          </w:tcPr>
          <w:p>
            <w:pPr>
              <w:jc w:val="center"/>
            </w:pPr>
            <w:r>
              <w:rPr>
                <w:rFonts w:ascii="宋体" w:hAnsi="宋体" w:eastAsia="宋体" w:cs="宋体"/>
                <w:b w:val="0"/>
                <w:i w:val="0"/>
                <w:color w:val="000000"/>
                <w:sz w:val="28"/>
              </w:rPr>
              <w:t>支出功能分类科目编码</w:t>
            </w:r>
          </w:p>
        </w:tc>
        <w:tc>
          <w:tcPr>
            <w:tcW w:w="5360" w:type="dxa"/>
            <w:vMerge w:val="restart"/>
            <w:vAlign w:val="center"/>
          </w:tcPr>
          <w:p>
            <w:pPr>
              <w:jc w:val="center"/>
            </w:pPr>
            <w:r>
              <w:rPr>
                <w:rFonts w:ascii="宋体" w:hAnsi="宋体" w:eastAsia="宋体" w:cs="宋体"/>
                <w:b w:val="0"/>
                <w:i w:val="0"/>
                <w:color w:val="000000"/>
                <w:sz w:val="28"/>
              </w:rPr>
              <w:t>科目名称</w:t>
            </w:r>
          </w:p>
        </w:tc>
        <w:tc>
          <w:tcPr>
            <w:tcW w:w="2460" w:type="dxa"/>
            <w:vMerge w:val="restart"/>
            <w:vAlign w:val="center"/>
          </w:tcPr>
          <w:p>
            <w:pPr>
              <w:jc w:val="center"/>
            </w:pPr>
            <w:r>
              <w:rPr>
                <w:rFonts w:ascii="宋体" w:hAnsi="宋体" w:eastAsia="宋体" w:cs="宋体"/>
                <w:b w:val="0"/>
                <w:i w:val="0"/>
                <w:color w:val="000000"/>
                <w:sz w:val="28"/>
              </w:rPr>
              <w:t>小计</w:t>
            </w:r>
          </w:p>
        </w:tc>
        <w:tc>
          <w:tcPr>
            <w:tcW w:w="2460" w:type="dxa"/>
            <w:vMerge w:val="restart"/>
            <w:vAlign w:val="center"/>
          </w:tcPr>
          <w:p>
            <w:pPr>
              <w:jc w:val="center"/>
            </w:pPr>
            <w:r>
              <w:rPr>
                <w:rFonts w:ascii="宋体" w:hAnsi="宋体" w:eastAsia="宋体" w:cs="宋体"/>
                <w:b w:val="0"/>
                <w:i w:val="0"/>
                <w:color w:val="000000"/>
                <w:sz w:val="28"/>
              </w:rPr>
              <w:t>基本支出</w:t>
            </w:r>
          </w:p>
        </w:tc>
        <w:tc>
          <w:tcPr>
            <w:tcW w:w="247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Merge w:val="continue"/>
            <w:vAlign w:val="center"/>
          </w:tcPr>
          <w:p/>
        </w:tc>
        <w:tc>
          <w:tcPr>
            <w:tcW w:w="5360" w:type="dxa"/>
            <w:vMerge w:val="continue"/>
            <w:vAlign w:val="center"/>
          </w:tcPr>
          <w:p/>
        </w:tc>
        <w:tc>
          <w:tcPr>
            <w:tcW w:w="2460" w:type="dxa"/>
            <w:vMerge w:val="continue"/>
            <w:vAlign w:val="center"/>
          </w:tcPr>
          <w:p/>
        </w:tc>
        <w:tc>
          <w:tcPr>
            <w:tcW w:w="2460" w:type="dxa"/>
            <w:vMerge w:val="continue"/>
            <w:vAlign w:val="center"/>
          </w:tcPr>
          <w:p/>
        </w:tc>
        <w:tc>
          <w:tcPr>
            <w:tcW w:w="2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Merge w:val="continue"/>
            <w:vAlign w:val="center"/>
          </w:tcPr>
          <w:p/>
        </w:tc>
        <w:tc>
          <w:tcPr>
            <w:tcW w:w="5360" w:type="dxa"/>
            <w:vMerge w:val="continue"/>
            <w:vAlign w:val="center"/>
          </w:tcPr>
          <w:p/>
        </w:tc>
        <w:tc>
          <w:tcPr>
            <w:tcW w:w="2460" w:type="dxa"/>
            <w:vMerge w:val="continue"/>
            <w:vAlign w:val="center"/>
          </w:tcPr>
          <w:p/>
        </w:tc>
        <w:tc>
          <w:tcPr>
            <w:tcW w:w="2460" w:type="dxa"/>
            <w:vMerge w:val="continue"/>
            <w:vAlign w:val="center"/>
          </w:tcPr>
          <w:p/>
        </w:tc>
        <w:tc>
          <w:tcPr>
            <w:tcW w:w="2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400" w:type="dxa"/>
            <w:vMerge w:val="restart"/>
            <w:vAlign w:val="center"/>
          </w:tcPr>
          <w:p>
            <w:pPr>
              <w:jc w:val="center"/>
            </w:pPr>
            <w:r>
              <w:rPr>
                <w:rFonts w:ascii="宋体" w:hAnsi="宋体" w:eastAsia="宋体" w:cs="宋体"/>
                <w:b w:val="0"/>
                <w:i w:val="0"/>
                <w:color w:val="000000"/>
                <w:sz w:val="28"/>
              </w:rPr>
              <w:t>类</w:t>
            </w:r>
          </w:p>
        </w:tc>
        <w:tc>
          <w:tcPr>
            <w:tcW w:w="400" w:type="dxa"/>
            <w:vMerge w:val="restart"/>
            <w:vAlign w:val="center"/>
          </w:tcPr>
          <w:p>
            <w:pPr>
              <w:jc w:val="center"/>
            </w:pPr>
            <w:r>
              <w:rPr>
                <w:rFonts w:ascii="宋体" w:hAnsi="宋体" w:eastAsia="宋体" w:cs="宋体"/>
                <w:b w:val="0"/>
                <w:i w:val="0"/>
                <w:color w:val="000000"/>
                <w:sz w:val="28"/>
              </w:rPr>
              <w:t>款</w:t>
            </w:r>
          </w:p>
        </w:tc>
        <w:tc>
          <w:tcPr>
            <w:tcW w:w="400" w:type="dxa"/>
            <w:vMerge w:val="restart"/>
            <w:vAlign w:val="center"/>
          </w:tcPr>
          <w:p>
            <w:pPr>
              <w:jc w:val="center"/>
            </w:pPr>
            <w:r>
              <w:rPr>
                <w:rFonts w:ascii="宋体" w:hAnsi="宋体" w:eastAsia="宋体" w:cs="宋体"/>
                <w:b w:val="0"/>
                <w:i w:val="0"/>
                <w:color w:val="000000"/>
                <w:sz w:val="28"/>
              </w:rPr>
              <w:t>项</w:t>
            </w:r>
          </w:p>
        </w:tc>
        <w:tc>
          <w:tcPr>
            <w:tcW w:w="5360" w:type="dxa"/>
            <w:vAlign w:val="center"/>
          </w:tcPr>
          <w:p>
            <w:pPr>
              <w:jc w:val="center"/>
            </w:pPr>
            <w:r>
              <w:rPr>
                <w:rFonts w:ascii="宋体" w:hAnsi="宋体" w:eastAsia="宋体" w:cs="宋体"/>
                <w:b w:val="0"/>
                <w:i w:val="0"/>
                <w:color w:val="000000"/>
                <w:sz w:val="28"/>
              </w:rPr>
              <w:t>栏   次</w:t>
            </w:r>
          </w:p>
        </w:tc>
        <w:tc>
          <w:tcPr>
            <w:tcW w:w="2460" w:type="dxa"/>
            <w:vAlign w:val="center"/>
          </w:tcPr>
          <w:p>
            <w:pPr>
              <w:jc w:val="center"/>
            </w:pPr>
            <w:r>
              <w:rPr>
                <w:rFonts w:ascii="宋体" w:hAnsi="宋体" w:eastAsia="宋体" w:cs="宋体"/>
                <w:b w:val="0"/>
                <w:i w:val="0"/>
                <w:color w:val="000000"/>
                <w:sz w:val="28"/>
              </w:rPr>
              <w:t>1</w:t>
            </w:r>
          </w:p>
        </w:tc>
        <w:tc>
          <w:tcPr>
            <w:tcW w:w="2460" w:type="dxa"/>
            <w:vAlign w:val="center"/>
          </w:tcPr>
          <w:p>
            <w:pPr>
              <w:jc w:val="center"/>
            </w:pPr>
            <w:r>
              <w:rPr>
                <w:rFonts w:ascii="宋体" w:hAnsi="宋体" w:eastAsia="宋体" w:cs="宋体"/>
                <w:b w:val="0"/>
                <w:i w:val="0"/>
                <w:color w:val="000000"/>
                <w:sz w:val="28"/>
              </w:rPr>
              <w:t>2</w:t>
            </w:r>
          </w:p>
        </w:tc>
        <w:tc>
          <w:tcPr>
            <w:tcW w:w="247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400" w:type="dxa"/>
            <w:vMerge w:val="continue"/>
            <w:vAlign w:val="center"/>
          </w:tcPr>
          <w:p/>
        </w:tc>
        <w:tc>
          <w:tcPr>
            <w:tcW w:w="400" w:type="dxa"/>
            <w:vMerge w:val="continue"/>
            <w:vAlign w:val="center"/>
          </w:tcPr>
          <w:p/>
        </w:tc>
        <w:tc>
          <w:tcPr>
            <w:tcW w:w="400" w:type="dxa"/>
            <w:vMerge w:val="continue"/>
            <w:vAlign w:val="center"/>
          </w:tcPr>
          <w:p/>
        </w:tc>
        <w:tc>
          <w:tcPr>
            <w:tcW w:w="5360" w:type="dxa"/>
            <w:vAlign w:val="center"/>
          </w:tcPr>
          <w:p>
            <w:pPr>
              <w:jc w:val="center"/>
            </w:pPr>
            <w:r>
              <w:rPr>
                <w:rFonts w:ascii="宋体" w:hAnsi="宋体" w:eastAsia="宋体" w:cs="宋体"/>
                <w:b w:val="0"/>
                <w:i w:val="0"/>
                <w:color w:val="000000"/>
                <w:sz w:val="28"/>
              </w:rPr>
              <w:t>合计</w:t>
            </w:r>
          </w:p>
        </w:tc>
        <w:tc>
          <w:tcPr>
            <w:tcW w:w="2460" w:type="dxa"/>
            <w:vAlign w:val="center"/>
          </w:tcPr>
          <w:p/>
        </w:tc>
        <w:tc>
          <w:tcPr>
            <w:tcW w:w="2460" w:type="dxa"/>
            <w:vAlign w:val="center"/>
          </w:tcPr>
          <w:p/>
        </w:tc>
        <w:tc>
          <w:tcPr>
            <w:tcW w:w="2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tc>
        <w:tc>
          <w:tcPr>
            <w:tcW w:w="5360" w:type="dxa"/>
            <w:vAlign w:val="center"/>
          </w:tcPr>
          <w:p/>
        </w:tc>
        <w:tc>
          <w:tcPr>
            <w:tcW w:w="2460" w:type="dxa"/>
            <w:vAlign w:val="center"/>
          </w:tcPr>
          <w:p/>
        </w:tc>
        <w:tc>
          <w:tcPr>
            <w:tcW w:w="2460" w:type="dxa"/>
            <w:vAlign w:val="center"/>
          </w:tcPr>
          <w:p/>
        </w:tc>
        <w:tc>
          <w:tcPr>
            <w:tcW w:w="2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395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6"/>
              </w:rPr>
              <w:t>注：本表反映本年度国有资本经营预算财政拨款支出情况。</w:t>
            </w:r>
          </w:p>
        </w:tc>
      </w:tr>
    </w:tbl>
    <w:p>
      <w:pPr>
        <w:snapToGrid w:val="0"/>
        <w:spacing w:before="0" w:after="0" w:line="0" w:lineRule="auto"/>
      </w:pPr>
      <w:r>
        <w:rPr>
          <w:sz w:val="8"/>
        </w:rPr>
        <w:t xml:space="preserve"> </w:t>
      </w:r>
    </w:p>
    <w:p>
      <w:pPr>
        <w:jc w:val="left"/>
        <w:rPr>
          <w:rFonts w:hint="eastAsia"/>
          <w:sz w:val="21"/>
          <w:szCs w:val="21"/>
          <w:lang w:val="en-US" w:eastAsia="zh-CN"/>
        </w:rPr>
        <w:sectPr>
          <w:pgSz w:w="16838" w:h="11906" w:orient="landscape"/>
          <w:pgMar w:top="1134" w:right="1440" w:bottom="1134" w:left="1440" w:header="720" w:footer="720" w:gutter="0"/>
          <w:pgNumType w:fmt="decimal"/>
          <w:cols w:space="425" w:num="1"/>
          <w:docGrid w:type="lines" w:linePitch="312" w:charSpace="0"/>
        </w:sectPr>
      </w:pPr>
      <w:r>
        <w:rPr>
          <w:rFonts w:hint="eastAsia" w:asciiTheme="minorEastAsia" w:hAnsiTheme="minorEastAsia" w:eastAsiaTheme="minorEastAsia" w:cstheme="minorEastAsia"/>
          <w:sz w:val="18"/>
          <w:szCs w:val="18"/>
          <w:highlight w:val="none"/>
          <w:lang w:val="en-US" w:eastAsia="zh-CN"/>
        </w:rPr>
        <w:t>说明：本部门没有国有资本经营收入，也没有使用国有资本经营安排的支出，故本表无数据。</w:t>
      </w:r>
    </w:p>
    <w:p>
      <w:pPr>
        <w:pStyle w:val="3"/>
        <w:bidi w:val="0"/>
        <w:jc w:val="center"/>
        <w:rPr>
          <w:rFonts w:hint="eastAsia" w:ascii="楷体" w:hAnsi="楷体" w:eastAsia="楷体" w:cs="楷体"/>
          <w:color w:val="000000"/>
          <w:kern w:val="0"/>
          <w:szCs w:val="32"/>
          <w:lang w:val="en-US" w:eastAsia="zh-CN"/>
        </w:rPr>
      </w:pPr>
      <w:bookmarkStart w:id="19" w:name="_Toc_1_2_0000000046"/>
      <w:r>
        <w:rPr>
          <w:rFonts w:hint="eastAsia" w:ascii="楷体" w:hAnsi="楷体" w:eastAsia="楷体" w:cs="楷体"/>
          <w:b w:val="0"/>
          <w:bCs/>
          <w:lang w:val="en-US" w:eastAsia="zh-CN"/>
        </w:rPr>
        <w:t>2023年度财政拨款“三公”经费支出决算表</w:t>
      </w:r>
      <w:bookmarkEnd w:id="19"/>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公开11表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部门：庆元县人民检察院（汇总）</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560"/>
        <w:gridCol w:w="3700"/>
        <w:gridCol w:w="36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01" w:hRule="exact"/>
          <w:jc w:val="center"/>
        </w:trPr>
        <w:tc>
          <w:tcPr>
            <w:tcW w:w="6560" w:type="dxa"/>
            <w:vAlign w:val="center"/>
          </w:tcPr>
          <w:p>
            <w:pPr>
              <w:jc w:val="center"/>
            </w:pPr>
            <w:r>
              <w:rPr>
                <w:rFonts w:ascii="宋体" w:hAnsi="宋体" w:eastAsia="宋体" w:cs="宋体"/>
                <w:b w:val="0"/>
                <w:i w:val="0"/>
                <w:color w:val="000000"/>
                <w:sz w:val="28"/>
              </w:rPr>
              <w:t>项   目</w:t>
            </w:r>
          </w:p>
        </w:tc>
        <w:tc>
          <w:tcPr>
            <w:tcW w:w="3700" w:type="dxa"/>
            <w:vAlign w:val="center"/>
          </w:tcPr>
          <w:p>
            <w:pPr>
              <w:jc w:val="center"/>
            </w:pPr>
            <w:r>
              <w:rPr>
                <w:rFonts w:ascii="宋体" w:hAnsi="宋体" w:eastAsia="宋体" w:cs="宋体"/>
                <w:b w:val="0"/>
                <w:i w:val="0"/>
                <w:color w:val="000000"/>
                <w:sz w:val="28"/>
              </w:rPr>
              <w:t>预算数</w:t>
            </w:r>
          </w:p>
        </w:tc>
        <w:tc>
          <w:tcPr>
            <w:tcW w:w="3698" w:type="dxa"/>
            <w:vAlign w:val="center"/>
          </w:tcPr>
          <w:p>
            <w:pPr>
              <w:jc w:val="center"/>
            </w:pPr>
            <w:r>
              <w:rPr>
                <w:rFonts w:ascii="宋体" w:hAnsi="宋体" w:eastAsia="宋体" w:cs="宋体"/>
                <w:b w:val="0"/>
                <w:i w:val="0"/>
                <w:color w:val="000000"/>
                <w:sz w:val="28"/>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01" w:hRule="exact"/>
          <w:jc w:val="center"/>
        </w:trPr>
        <w:tc>
          <w:tcPr>
            <w:tcW w:w="6560" w:type="dxa"/>
            <w:vAlign w:val="center"/>
          </w:tcPr>
          <w:p>
            <w:pPr>
              <w:jc w:val="left"/>
            </w:pPr>
            <w:r>
              <w:rPr>
                <w:rFonts w:ascii="宋体" w:hAnsi="宋体" w:eastAsia="宋体" w:cs="宋体"/>
                <w:b w:val="0"/>
                <w:i w:val="0"/>
                <w:color w:val="000000"/>
                <w:sz w:val="28"/>
              </w:rPr>
              <w:t>“三公”经费支出合计</w:t>
            </w:r>
          </w:p>
        </w:tc>
        <w:tc>
          <w:tcPr>
            <w:tcW w:w="3700" w:type="dxa"/>
            <w:vAlign w:val="center"/>
          </w:tcPr>
          <w:p>
            <w:pPr>
              <w:jc w:val="right"/>
            </w:pPr>
            <w:r>
              <w:rPr>
                <w:rFonts w:ascii="宋体" w:hAnsi="宋体" w:eastAsia="宋体" w:cs="宋体"/>
                <w:b w:val="0"/>
                <w:i w:val="0"/>
                <w:color w:val="000000"/>
                <w:sz w:val="28"/>
              </w:rPr>
              <w:t>23.50</w:t>
            </w:r>
          </w:p>
        </w:tc>
        <w:tc>
          <w:tcPr>
            <w:tcW w:w="3698" w:type="dxa"/>
            <w:vAlign w:val="center"/>
          </w:tcPr>
          <w:p>
            <w:pPr>
              <w:jc w:val="right"/>
            </w:pPr>
            <w:r>
              <w:rPr>
                <w:rFonts w:ascii="宋体" w:hAnsi="宋体" w:eastAsia="宋体" w:cs="宋体"/>
                <w:b w:val="0"/>
                <w:i w:val="0"/>
                <w:color w:val="000000"/>
                <w:sz w:val="28"/>
              </w:rPr>
              <w:t>23.50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01" w:hRule="exact"/>
          <w:jc w:val="center"/>
        </w:trPr>
        <w:tc>
          <w:tcPr>
            <w:tcW w:w="6560" w:type="dxa"/>
            <w:vAlign w:val="center"/>
          </w:tcPr>
          <w:p>
            <w:pPr>
              <w:jc w:val="left"/>
            </w:pPr>
            <w:r>
              <w:rPr>
                <w:rFonts w:ascii="宋体" w:hAnsi="宋体" w:eastAsia="宋体" w:cs="宋体"/>
                <w:b w:val="0"/>
                <w:i w:val="0"/>
                <w:color w:val="000000"/>
                <w:sz w:val="28"/>
              </w:rPr>
              <w:t xml:space="preserve">  1．因公出国（境）费用</w:t>
            </w:r>
          </w:p>
        </w:tc>
        <w:tc>
          <w:tcPr>
            <w:tcW w:w="3700" w:type="dxa"/>
            <w:vAlign w:val="center"/>
          </w:tcPr>
          <w:p>
            <w:pPr>
              <w:jc w:val="right"/>
            </w:pPr>
            <w:r>
              <w:rPr>
                <w:rFonts w:ascii="宋体" w:hAnsi="宋体" w:eastAsia="宋体" w:cs="宋体"/>
                <w:b w:val="0"/>
                <w:i w:val="0"/>
                <w:color w:val="000000"/>
                <w:sz w:val="28"/>
              </w:rPr>
              <w:t>0.00</w:t>
            </w:r>
          </w:p>
        </w:tc>
        <w:tc>
          <w:tcPr>
            <w:tcW w:w="3698" w:type="dxa"/>
            <w:vAlign w:val="center"/>
          </w:tcPr>
          <w:p>
            <w:pPr>
              <w:jc w:val="right"/>
            </w:pPr>
            <w:r>
              <w:rPr>
                <w:rFonts w:ascii="宋体" w:hAnsi="宋体" w:eastAsia="宋体" w:cs="宋体"/>
                <w:b w:val="0"/>
                <w:i w:val="0"/>
                <w:color w:val="000000"/>
                <w:sz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01" w:hRule="exact"/>
          <w:jc w:val="center"/>
        </w:trPr>
        <w:tc>
          <w:tcPr>
            <w:tcW w:w="6560" w:type="dxa"/>
            <w:vAlign w:val="center"/>
          </w:tcPr>
          <w:p>
            <w:pPr>
              <w:jc w:val="left"/>
            </w:pPr>
            <w:r>
              <w:rPr>
                <w:rFonts w:ascii="宋体" w:hAnsi="宋体" w:eastAsia="宋体" w:cs="宋体"/>
                <w:b w:val="0"/>
                <w:i w:val="0"/>
                <w:color w:val="000000"/>
                <w:sz w:val="28"/>
              </w:rPr>
              <w:t xml:space="preserve">  2．公务用车购置及运行维护费小计</w:t>
            </w:r>
          </w:p>
        </w:tc>
        <w:tc>
          <w:tcPr>
            <w:tcW w:w="3700" w:type="dxa"/>
            <w:vAlign w:val="center"/>
          </w:tcPr>
          <w:p>
            <w:pPr>
              <w:jc w:val="right"/>
            </w:pPr>
            <w:r>
              <w:rPr>
                <w:rFonts w:ascii="宋体" w:hAnsi="宋体" w:eastAsia="宋体" w:cs="宋体"/>
                <w:b w:val="0"/>
                <w:i w:val="0"/>
                <w:color w:val="000000"/>
                <w:sz w:val="28"/>
              </w:rPr>
              <w:t>18.80</w:t>
            </w:r>
          </w:p>
        </w:tc>
        <w:tc>
          <w:tcPr>
            <w:tcW w:w="3698" w:type="dxa"/>
            <w:vAlign w:val="center"/>
          </w:tcPr>
          <w:p>
            <w:pPr>
              <w:jc w:val="right"/>
            </w:pPr>
            <w:r>
              <w:rPr>
                <w:rFonts w:ascii="宋体" w:hAnsi="宋体" w:eastAsia="宋体" w:cs="宋体"/>
                <w:b w:val="0"/>
                <w:i w:val="0"/>
                <w:color w:val="000000"/>
                <w:sz w:val="28"/>
              </w:rPr>
              <w:t>18.80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01" w:hRule="exact"/>
          <w:jc w:val="center"/>
        </w:trPr>
        <w:tc>
          <w:tcPr>
            <w:tcW w:w="6560" w:type="dxa"/>
            <w:vAlign w:val="center"/>
          </w:tcPr>
          <w:p>
            <w:pPr>
              <w:jc w:val="left"/>
            </w:pPr>
            <w:r>
              <w:rPr>
                <w:rFonts w:ascii="宋体" w:hAnsi="宋体" w:eastAsia="宋体" w:cs="宋体"/>
                <w:b w:val="0"/>
                <w:i w:val="0"/>
                <w:color w:val="000000"/>
                <w:sz w:val="28"/>
              </w:rPr>
              <w:t xml:space="preserve">    （1）公务用车购置费</w:t>
            </w:r>
          </w:p>
        </w:tc>
        <w:tc>
          <w:tcPr>
            <w:tcW w:w="3700" w:type="dxa"/>
            <w:vAlign w:val="center"/>
          </w:tcPr>
          <w:p>
            <w:pPr>
              <w:jc w:val="right"/>
            </w:pPr>
            <w:r>
              <w:rPr>
                <w:rFonts w:ascii="宋体" w:hAnsi="宋体" w:eastAsia="宋体" w:cs="宋体"/>
                <w:b w:val="0"/>
                <w:i w:val="0"/>
                <w:color w:val="000000"/>
                <w:sz w:val="28"/>
              </w:rPr>
              <w:t>0.00</w:t>
            </w:r>
          </w:p>
        </w:tc>
        <w:tc>
          <w:tcPr>
            <w:tcW w:w="3698" w:type="dxa"/>
            <w:vAlign w:val="center"/>
          </w:tcPr>
          <w:p>
            <w:pPr>
              <w:jc w:val="right"/>
            </w:pPr>
            <w:r>
              <w:rPr>
                <w:rFonts w:ascii="宋体" w:hAnsi="宋体" w:eastAsia="宋体" w:cs="宋体"/>
                <w:b w:val="0"/>
                <w:i w:val="0"/>
                <w:color w:val="000000"/>
                <w:sz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01" w:hRule="exact"/>
          <w:jc w:val="center"/>
        </w:trPr>
        <w:tc>
          <w:tcPr>
            <w:tcW w:w="6560" w:type="dxa"/>
            <w:vAlign w:val="center"/>
          </w:tcPr>
          <w:p>
            <w:pPr>
              <w:jc w:val="left"/>
            </w:pPr>
            <w:r>
              <w:rPr>
                <w:rFonts w:ascii="宋体" w:hAnsi="宋体" w:eastAsia="宋体" w:cs="宋体"/>
                <w:b w:val="0"/>
                <w:i w:val="0"/>
                <w:color w:val="000000"/>
                <w:sz w:val="28"/>
              </w:rPr>
              <w:t xml:space="preserve">    （2）公务用车运行维护费</w:t>
            </w:r>
          </w:p>
        </w:tc>
        <w:tc>
          <w:tcPr>
            <w:tcW w:w="3700" w:type="dxa"/>
            <w:vAlign w:val="center"/>
          </w:tcPr>
          <w:p>
            <w:pPr>
              <w:jc w:val="right"/>
            </w:pPr>
            <w:r>
              <w:rPr>
                <w:rFonts w:ascii="宋体" w:hAnsi="宋体" w:eastAsia="宋体" w:cs="宋体"/>
                <w:b w:val="0"/>
                <w:i w:val="0"/>
                <w:color w:val="000000"/>
                <w:sz w:val="28"/>
              </w:rPr>
              <w:t>18.80</w:t>
            </w:r>
          </w:p>
        </w:tc>
        <w:tc>
          <w:tcPr>
            <w:tcW w:w="3698" w:type="dxa"/>
            <w:vAlign w:val="center"/>
          </w:tcPr>
          <w:p>
            <w:pPr>
              <w:jc w:val="right"/>
            </w:pPr>
            <w:r>
              <w:rPr>
                <w:rFonts w:ascii="宋体" w:hAnsi="宋体" w:eastAsia="宋体" w:cs="宋体"/>
                <w:b w:val="0"/>
                <w:i w:val="0"/>
                <w:color w:val="000000"/>
                <w:sz w:val="28"/>
              </w:rPr>
              <w:t>18.80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01" w:hRule="exact"/>
          <w:jc w:val="center"/>
        </w:trPr>
        <w:tc>
          <w:tcPr>
            <w:tcW w:w="6560" w:type="dxa"/>
            <w:vAlign w:val="center"/>
          </w:tcPr>
          <w:p>
            <w:pPr>
              <w:jc w:val="left"/>
            </w:pPr>
            <w:r>
              <w:rPr>
                <w:rFonts w:ascii="宋体" w:hAnsi="宋体" w:eastAsia="宋体" w:cs="宋体"/>
                <w:b w:val="0"/>
                <w:i w:val="0"/>
                <w:color w:val="000000"/>
                <w:sz w:val="28"/>
              </w:rPr>
              <w:t xml:space="preserve">  3．公务接待费</w:t>
            </w:r>
          </w:p>
        </w:tc>
        <w:tc>
          <w:tcPr>
            <w:tcW w:w="3700" w:type="dxa"/>
            <w:vAlign w:val="center"/>
          </w:tcPr>
          <w:p>
            <w:pPr>
              <w:jc w:val="right"/>
            </w:pPr>
            <w:r>
              <w:rPr>
                <w:rFonts w:ascii="宋体" w:hAnsi="宋体" w:eastAsia="宋体" w:cs="宋体"/>
                <w:b w:val="0"/>
                <w:i w:val="0"/>
                <w:color w:val="000000"/>
                <w:sz w:val="28"/>
              </w:rPr>
              <w:t>4.70</w:t>
            </w:r>
          </w:p>
        </w:tc>
        <w:tc>
          <w:tcPr>
            <w:tcW w:w="3698" w:type="dxa"/>
            <w:vAlign w:val="center"/>
          </w:tcPr>
          <w:p>
            <w:pPr>
              <w:jc w:val="right"/>
            </w:pPr>
            <w:r>
              <w:rPr>
                <w:rFonts w:ascii="宋体" w:hAnsi="宋体" w:eastAsia="宋体" w:cs="宋体"/>
                <w:b w:val="0"/>
                <w:i w:val="0"/>
                <w:color w:val="000000"/>
                <w:sz w:val="28"/>
              </w:rPr>
              <w:t>4.70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69" w:hRule="exact"/>
          <w:jc w:val="center"/>
        </w:trPr>
        <w:tc>
          <w:tcPr>
            <w:tcW w:w="13958"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8"/>
              </w:rPr>
              <w:t>注：本表反映本年度财政拨款“三公”经费支出预决算情况。其中：预算数为“三公”经费全年预算数，决算数是包括当年财政拨款和以前年度结转资金安排的实际支出。因公出国（境）费用不含教学科研人员学术交流。</w:t>
            </w:r>
          </w:p>
        </w:tc>
      </w:tr>
    </w:tbl>
    <w:p>
      <w:pPr>
        <w:snapToGrid w:val="0"/>
        <w:spacing w:before="0" w:after="0" w:line="0" w:lineRule="auto"/>
      </w:pPr>
      <w:r>
        <w:rPr>
          <w:sz w:val="8"/>
        </w:rPr>
        <w:t xml:space="preserve"> </w:t>
      </w:r>
    </w:p>
    <w:p>
      <w:pPr>
        <w:jc w:val="left"/>
        <w:rPr>
          <w:rFonts w:hint="eastAsia" w:ascii="仿宋" w:hAnsi="仿宋" w:eastAsia="仿宋"/>
          <w:color w:val="000000"/>
          <w:sz w:val="32"/>
          <w:szCs w:val="24"/>
          <w:highlight w:val="white"/>
          <w:lang w:val="en-US"/>
        </w:rPr>
        <w:sectPr>
          <w:pgSz w:w="16838" w:h="11906" w:orient="landscape"/>
          <w:pgMar w:top="1134" w:right="1440" w:bottom="1134" w:left="1440" w:header="851" w:footer="992" w:gutter="0"/>
          <w:pgNumType w:fmt="decimal"/>
          <w:cols w:space="425" w:num="1"/>
          <w:docGrid w:type="lines" w:linePitch="312" w:charSpace="0"/>
        </w:sectPr>
      </w:pPr>
    </w:p>
    <w:p>
      <w:pPr>
        <w:keepNext/>
        <w:keepLines/>
        <w:spacing w:beforeLines="0" w:afterLines="0" w:line="600" w:lineRule="exact"/>
        <w:jc w:val="left"/>
        <w:outlineLvl w:val="0"/>
        <w:rPr>
          <w:rFonts w:hint="eastAsia" w:ascii="黑体" w:hAnsi="黑体" w:eastAsia="黑体"/>
          <w:b w:val="0"/>
          <w:bCs/>
          <w:color w:val="000000"/>
          <w:sz w:val="32"/>
          <w:szCs w:val="24"/>
          <w:highlight w:val="none"/>
          <w:lang w:val="en-US"/>
        </w:rPr>
      </w:pPr>
      <w:bookmarkStart w:id="20" w:name="_Toc20367"/>
      <w:bookmarkStart w:id="21" w:name="_Toc_1_2_0000000047"/>
      <w:r>
        <w:rPr>
          <w:rFonts w:hint="eastAsia" w:ascii="黑体" w:hAnsi="黑体" w:eastAsia="黑体"/>
          <w:b w:val="0"/>
          <w:bCs/>
          <w:color w:val="000000"/>
          <w:sz w:val="32"/>
          <w:szCs w:val="24"/>
          <w:highlight w:val="none"/>
          <w:lang w:val="en-US" w:eastAsia="zh-CN"/>
        </w:rPr>
        <w:t>三、2023年度部门决算情况说明</w:t>
      </w:r>
      <w:bookmarkEnd w:id="20"/>
      <w:bookmarkEnd w:id="21"/>
    </w:p>
    <w:p>
      <w:pPr>
        <w:spacing w:beforeLines="0" w:afterLines="0" w:line="600" w:lineRule="exact"/>
        <w:ind w:firstLine="641"/>
        <w:jc w:val="left"/>
        <w:outlineLvl w:val="1"/>
        <w:rPr>
          <w:rFonts w:hint="eastAsia" w:ascii="楷体" w:hAnsi="楷体" w:eastAsia="楷体"/>
          <w:b w:val="0"/>
          <w:bCs/>
          <w:color w:val="000000"/>
          <w:sz w:val="32"/>
          <w:szCs w:val="24"/>
          <w:highlight w:val="none"/>
          <w:lang w:val="en-US"/>
        </w:rPr>
      </w:pPr>
      <w:bookmarkStart w:id="22" w:name="_Toc14213"/>
      <w:bookmarkStart w:id="23" w:name="_Toc_1_2_0000000048"/>
      <w:r>
        <w:rPr>
          <w:rFonts w:hint="eastAsia" w:ascii="黑体" w:hAnsi="宋体" w:eastAsia="黑体" w:cs="黑体"/>
          <w:kern w:val="2"/>
          <w:sz w:val="32"/>
          <w:szCs w:val="32"/>
          <w:lang w:val="en-US" w:eastAsia="zh-CN"/>
        </w:rPr>
        <w:t>（一）收入支出决算总体情况说明</w:t>
      </w:r>
      <w:bookmarkEnd w:id="22"/>
      <w:bookmarkEnd w:id="23"/>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kern w:val="2"/>
          <w:sz w:val="32"/>
          <w:szCs w:val="32"/>
          <w:highlight w:val="none"/>
          <w:lang w:val="en-US" w:eastAsia="zh-CN"/>
        </w:rPr>
      </w:pPr>
      <w:r>
        <w:rPr>
          <w:rFonts w:hint="eastAsia" w:ascii="仿宋" w:hAnsi="仿宋" w:eastAsia="仿宋" w:cs="仿宋"/>
          <w:color w:val="000000"/>
          <w:sz w:val="32"/>
          <w:szCs w:val="24"/>
          <w:highlight w:val="none"/>
          <w:lang w:val="en-US" w:eastAsia="zh-CN"/>
        </w:rPr>
        <w:t>2023</w:t>
      </w:r>
      <w:r>
        <w:rPr>
          <w:rFonts w:hint="eastAsia" w:ascii="仿宋" w:hAnsi="仿宋" w:eastAsia="仿宋" w:cs="仿宋"/>
          <w:color w:val="000000"/>
          <w:sz w:val="32"/>
          <w:szCs w:val="24"/>
          <w:highlight w:val="none"/>
          <w:lang w:val="en-US"/>
        </w:rPr>
        <w:t>年度收入总计</w:t>
      </w:r>
      <w:r>
        <w:rPr>
          <w:rFonts w:hint="eastAsia" w:ascii="仿宋" w:hAnsi="仿宋" w:eastAsia="仿宋" w:cs="仿宋"/>
          <w:color w:val="000000"/>
          <w:sz w:val="32"/>
          <w:szCs w:val="24"/>
          <w:highlight w:val="none"/>
          <w:lang w:val="en-US" w:eastAsia="zh-CN"/>
        </w:rPr>
        <w:t>2283.87</w:t>
      </w:r>
      <w:r>
        <w:rPr>
          <w:rFonts w:hint="eastAsia" w:ascii="仿宋" w:hAnsi="仿宋" w:eastAsia="仿宋" w:cs="仿宋"/>
          <w:color w:val="000000"/>
          <w:sz w:val="32"/>
          <w:szCs w:val="24"/>
          <w:highlight w:val="none"/>
          <w:lang w:val="en-US"/>
        </w:rPr>
        <w:t>万元，支出总计</w:t>
      </w:r>
      <w:r>
        <w:rPr>
          <w:rFonts w:hint="eastAsia" w:ascii="仿宋" w:hAnsi="仿宋" w:eastAsia="仿宋" w:cs="仿宋"/>
          <w:color w:val="000000"/>
          <w:sz w:val="32"/>
          <w:szCs w:val="24"/>
          <w:highlight w:val="none"/>
          <w:lang w:val="en-US" w:eastAsia="zh-CN"/>
        </w:rPr>
        <w:t>2283.87</w:t>
      </w:r>
      <w:r>
        <w:rPr>
          <w:rFonts w:hint="eastAsia" w:ascii="仿宋" w:hAnsi="仿宋" w:eastAsia="仿宋" w:cs="仿宋"/>
          <w:color w:val="000000"/>
          <w:sz w:val="32"/>
          <w:szCs w:val="24"/>
          <w:highlight w:val="none"/>
          <w:lang w:val="en-US"/>
        </w:rPr>
        <w:t>万元,与</w:t>
      </w:r>
      <w:r>
        <w:rPr>
          <w:rFonts w:hint="eastAsia" w:ascii="仿宋" w:hAnsi="仿宋" w:eastAsia="仿宋" w:cs="仿宋"/>
          <w:color w:val="000000"/>
          <w:sz w:val="32"/>
          <w:szCs w:val="24"/>
          <w:highlight w:val="none"/>
          <w:lang w:val="en-US" w:eastAsia="zh-CN"/>
        </w:rPr>
        <w:t>2022</w:t>
      </w:r>
      <w:r>
        <w:rPr>
          <w:rFonts w:hint="eastAsia" w:ascii="仿宋" w:hAnsi="仿宋" w:eastAsia="仿宋" w:cs="仿宋"/>
          <w:color w:val="000000"/>
          <w:sz w:val="32"/>
          <w:szCs w:val="24"/>
          <w:highlight w:val="none"/>
          <w:lang w:val="en-US"/>
        </w:rPr>
        <w:t>年度相比，</w:t>
      </w:r>
      <w:r>
        <w:rPr>
          <w:rFonts w:hint="eastAsia" w:ascii="仿宋" w:hAnsi="仿宋" w:eastAsia="仿宋" w:cs="仿宋"/>
          <w:color w:val="000000"/>
          <w:sz w:val="32"/>
          <w:szCs w:val="24"/>
          <w:highlight w:val="none"/>
          <w:lang w:val="en-US" w:eastAsia="zh-CN"/>
        </w:rPr>
        <w:t>各</w:t>
      </w:r>
      <w:r>
        <w:rPr>
          <w:rFonts w:hint="eastAsia" w:ascii="仿宋" w:hAnsi="仿宋" w:eastAsia="仿宋" w:cs="仿宋"/>
          <w:color w:val="auto"/>
          <w:sz w:val="32"/>
          <w:szCs w:val="32"/>
          <w:highlight w:val="none"/>
        </w:rPr>
        <w:t>增加33.48万元，增长1.49%</w:t>
      </w:r>
      <w:r>
        <w:rPr>
          <w:rFonts w:hint="eastAsia" w:ascii="仿宋" w:hAnsi="仿宋" w:eastAsia="仿宋" w:cs="仿宋"/>
          <w:color w:val="000000"/>
          <w:sz w:val="32"/>
          <w:szCs w:val="24"/>
          <w:highlight w:val="none"/>
          <w:lang w:val="en-US" w:eastAsia="zh-CN"/>
        </w:rPr>
        <w:t>,</w:t>
      </w:r>
      <w:r>
        <w:rPr>
          <w:rFonts w:hint="eastAsia" w:ascii="仿宋" w:hAnsi="仿宋" w:eastAsia="仿宋" w:cs="仿宋"/>
          <w:color w:val="000000"/>
          <w:sz w:val="32"/>
          <w:szCs w:val="24"/>
          <w:highlight w:val="none"/>
          <w:lang w:val="en-US"/>
        </w:rPr>
        <w:t>主要原因是：</w:t>
      </w:r>
      <w:r>
        <w:rPr>
          <w:rFonts w:hint="eastAsia" w:ascii="仿宋" w:hAnsi="仿宋" w:eastAsia="仿宋" w:cs="仿宋"/>
          <w:kern w:val="0"/>
          <w:sz w:val="32"/>
          <w:szCs w:val="32"/>
          <w:lang w:val="en-US" w:eastAsia="zh-CN"/>
        </w:rPr>
        <w:t>人员有调整。</w:t>
      </w:r>
    </w:p>
    <w:p>
      <w:pPr>
        <w:spacing w:beforeLines="0" w:afterLines="0" w:line="600" w:lineRule="exact"/>
        <w:ind w:firstLine="641"/>
        <w:jc w:val="left"/>
        <w:outlineLvl w:val="1"/>
        <w:rPr>
          <w:rFonts w:hint="eastAsia" w:ascii="楷体" w:hAnsi="楷体" w:eastAsia="楷体"/>
          <w:b w:val="0"/>
          <w:bCs/>
          <w:color w:val="000000"/>
          <w:sz w:val="32"/>
          <w:szCs w:val="24"/>
          <w:highlight w:val="none"/>
          <w:lang w:val="en-US"/>
        </w:rPr>
      </w:pPr>
      <w:bookmarkStart w:id="24" w:name="_Toc3121"/>
      <w:bookmarkStart w:id="25" w:name="_Toc_1_2_0000000049"/>
      <w:r>
        <w:rPr>
          <w:rFonts w:hint="eastAsia" w:ascii="黑体" w:hAnsi="黑体" w:eastAsia="黑体"/>
          <w:b w:val="0"/>
          <w:bCs/>
          <w:color w:val="000000"/>
          <w:sz w:val="32"/>
          <w:szCs w:val="24"/>
          <w:highlight w:val="none"/>
          <w:lang w:val="en-US" w:eastAsia="zh-CN"/>
        </w:rPr>
        <w:t>（二）收入决算情况说明</w:t>
      </w:r>
      <w:bookmarkEnd w:id="24"/>
      <w:bookmarkEnd w:id="25"/>
    </w:p>
    <w:p>
      <w:pPr>
        <w:spacing w:beforeLines="0" w:afterLines="0" w:line="600" w:lineRule="exact"/>
        <w:ind w:firstLine="640"/>
        <w:rPr>
          <w:rFonts w:hint="eastAsia" w:ascii="仿宋" w:hAnsi="仿宋" w:eastAsia="仿宋"/>
          <w:color w:val="000000"/>
          <w:sz w:val="32"/>
          <w:szCs w:val="24"/>
          <w:highlight w:val="none"/>
          <w:lang w:val="en-US"/>
        </w:rPr>
      </w:pPr>
      <w:r>
        <w:rPr>
          <w:rFonts w:hint="eastAsia" w:ascii="仿宋" w:hAnsi="仿宋" w:eastAsia="仿宋"/>
          <w:color w:val="000000"/>
          <w:sz w:val="32"/>
          <w:szCs w:val="24"/>
          <w:highlight w:val="none"/>
          <w:lang w:val="en-US"/>
        </w:rPr>
        <w:t>本年收入合计</w:t>
      </w:r>
      <w:r>
        <w:rPr>
          <w:rFonts w:hint="eastAsia" w:ascii="仿宋" w:hAnsi="仿宋" w:eastAsia="仿宋"/>
          <w:color w:val="000000"/>
          <w:sz w:val="32"/>
          <w:szCs w:val="24"/>
          <w:highlight w:val="none"/>
          <w:lang w:val="en-US" w:eastAsia="zh-CN"/>
        </w:rPr>
        <w:t>2279.12</w:t>
      </w:r>
      <w:r>
        <w:rPr>
          <w:rFonts w:hint="eastAsia" w:ascii="仿宋" w:hAnsi="仿宋" w:eastAsia="仿宋"/>
          <w:color w:val="000000"/>
          <w:sz w:val="32"/>
          <w:szCs w:val="24"/>
          <w:highlight w:val="none"/>
          <w:lang w:val="en-US"/>
        </w:rPr>
        <w:t>万元；包括财政拨款收入</w:t>
      </w:r>
      <w:r>
        <w:rPr>
          <w:rFonts w:hint="eastAsia" w:ascii="仿宋" w:hAnsi="仿宋" w:eastAsia="仿宋"/>
          <w:color w:val="000000"/>
          <w:sz w:val="32"/>
          <w:szCs w:val="24"/>
          <w:highlight w:val="none"/>
          <w:lang w:val="en-US" w:eastAsia="zh-CN"/>
        </w:rPr>
        <w:t>2273.44</w:t>
      </w:r>
      <w:r>
        <w:rPr>
          <w:rFonts w:hint="eastAsia" w:ascii="仿宋" w:hAnsi="仿宋" w:eastAsia="仿宋"/>
          <w:color w:val="000000"/>
          <w:sz w:val="32"/>
          <w:szCs w:val="24"/>
          <w:highlight w:val="none"/>
          <w:lang w:val="en-US"/>
        </w:rPr>
        <w:t>万元（其中，一般公共预算</w:t>
      </w:r>
      <w:r>
        <w:rPr>
          <w:rFonts w:hint="eastAsia" w:ascii="仿宋" w:hAnsi="仿宋" w:eastAsia="仿宋"/>
          <w:color w:val="000000"/>
          <w:sz w:val="32"/>
          <w:szCs w:val="24"/>
          <w:highlight w:val="none"/>
          <w:lang w:val="en-US" w:eastAsia="zh-CN"/>
        </w:rPr>
        <w:t>2273.44</w:t>
      </w:r>
      <w:r>
        <w:rPr>
          <w:rFonts w:hint="eastAsia" w:ascii="仿宋" w:hAnsi="仿宋" w:eastAsia="仿宋"/>
          <w:color w:val="000000"/>
          <w:sz w:val="32"/>
          <w:szCs w:val="24"/>
          <w:highlight w:val="none"/>
          <w:lang w:val="en-US"/>
        </w:rPr>
        <w:t>万元，政府性基金预算</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万元,国有资本经营预算</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万元），占收入合计</w:t>
      </w:r>
      <w:r>
        <w:rPr>
          <w:rFonts w:hint="eastAsia" w:ascii="仿宋" w:hAnsi="仿宋" w:eastAsia="仿宋"/>
          <w:color w:val="000000"/>
          <w:sz w:val="32"/>
          <w:szCs w:val="24"/>
          <w:highlight w:val="none"/>
          <w:lang w:val="en-US" w:eastAsia="zh-CN"/>
        </w:rPr>
        <w:t>99.75</w:t>
      </w:r>
      <w:r>
        <w:rPr>
          <w:rFonts w:hint="eastAsia" w:ascii="仿宋" w:hAnsi="仿宋" w:eastAsia="仿宋"/>
          <w:color w:val="000000"/>
          <w:sz w:val="32"/>
          <w:szCs w:val="24"/>
          <w:highlight w:val="none"/>
          <w:lang w:val="en-US"/>
        </w:rPr>
        <w:t>%；上级补助收入</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万元，占收入合计</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%；事业收入</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万元，占收入合计</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%；经营收入</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万元，占收入合计</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%；附属</w:t>
      </w:r>
      <w:r>
        <w:rPr>
          <w:rFonts w:hint="eastAsia" w:ascii="仿宋" w:hAnsi="仿宋" w:eastAsia="仿宋"/>
          <w:color w:val="000000"/>
          <w:sz w:val="32"/>
          <w:szCs w:val="24"/>
          <w:highlight w:val="none"/>
          <w:lang w:val="en-US" w:eastAsia="zh-CN"/>
        </w:rPr>
        <w:t>部门</w:t>
      </w:r>
      <w:r>
        <w:rPr>
          <w:rFonts w:hint="eastAsia" w:ascii="仿宋" w:hAnsi="仿宋" w:eastAsia="仿宋"/>
          <w:color w:val="000000"/>
          <w:sz w:val="32"/>
          <w:szCs w:val="24"/>
          <w:highlight w:val="none"/>
          <w:lang w:val="en-US"/>
        </w:rPr>
        <w:t>上缴收入</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万元，占收入合计</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%；其他收入</w:t>
      </w:r>
      <w:r>
        <w:rPr>
          <w:rFonts w:hint="eastAsia" w:ascii="仿宋" w:hAnsi="仿宋" w:eastAsia="仿宋"/>
          <w:color w:val="000000"/>
          <w:sz w:val="32"/>
          <w:szCs w:val="24"/>
          <w:highlight w:val="none"/>
          <w:lang w:val="en-US" w:eastAsia="zh-CN"/>
        </w:rPr>
        <w:t>5.68</w:t>
      </w:r>
      <w:r>
        <w:rPr>
          <w:rFonts w:hint="eastAsia" w:ascii="仿宋" w:hAnsi="仿宋" w:eastAsia="仿宋"/>
          <w:color w:val="000000"/>
          <w:sz w:val="32"/>
          <w:szCs w:val="24"/>
          <w:highlight w:val="none"/>
          <w:lang w:val="en-US"/>
        </w:rPr>
        <w:t>万元，占收入合计</w:t>
      </w:r>
      <w:r>
        <w:rPr>
          <w:rFonts w:hint="eastAsia" w:ascii="仿宋" w:hAnsi="仿宋" w:eastAsia="仿宋"/>
          <w:color w:val="000000"/>
          <w:sz w:val="32"/>
          <w:szCs w:val="24"/>
          <w:highlight w:val="none"/>
          <w:lang w:val="en-US" w:eastAsia="zh-CN"/>
        </w:rPr>
        <w:t>0.25</w:t>
      </w:r>
      <w:r>
        <w:rPr>
          <w:rFonts w:hint="eastAsia" w:ascii="仿宋" w:hAnsi="仿宋" w:eastAsia="仿宋"/>
          <w:color w:val="000000"/>
          <w:sz w:val="32"/>
          <w:szCs w:val="24"/>
          <w:highlight w:val="none"/>
          <w:lang w:val="en-US"/>
        </w:rPr>
        <w:t>%。</w:t>
      </w:r>
    </w:p>
    <w:p>
      <w:pPr>
        <w:spacing w:beforeLines="0" w:afterLines="0" w:line="600" w:lineRule="exact"/>
        <w:ind w:firstLine="641"/>
        <w:jc w:val="left"/>
        <w:outlineLvl w:val="1"/>
        <w:rPr>
          <w:rFonts w:hint="eastAsia" w:ascii="楷体" w:hAnsi="楷体" w:eastAsia="楷体"/>
          <w:b w:val="0"/>
          <w:bCs/>
          <w:color w:val="000000"/>
          <w:sz w:val="32"/>
          <w:szCs w:val="24"/>
          <w:highlight w:val="none"/>
          <w:lang w:val="en-US"/>
        </w:rPr>
      </w:pPr>
      <w:bookmarkStart w:id="26" w:name="_Toc31087"/>
      <w:bookmarkStart w:id="27" w:name="_Toc_1_2_0000000050"/>
      <w:r>
        <w:rPr>
          <w:rFonts w:hint="eastAsia" w:ascii="黑体" w:hAnsi="宋体" w:eastAsia="黑体" w:cs="黑体"/>
          <w:kern w:val="2"/>
          <w:sz w:val="32"/>
          <w:szCs w:val="32"/>
          <w:lang w:val="en-US" w:eastAsia="zh-CN"/>
        </w:rPr>
        <w:t>（三）支出决算情况说明</w:t>
      </w:r>
      <w:bookmarkEnd w:id="26"/>
      <w:bookmarkEnd w:id="27"/>
    </w:p>
    <w:p>
      <w:pPr>
        <w:spacing w:beforeLines="0" w:afterLines="0" w:line="600" w:lineRule="exact"/>
        <w:ind w:firstLine="594"/>
        <w:rPr>
          <w:rFonts w:hint="eastAsia" w:ascii="黑体" w:hAnsi="宋体" w:eastAsia="黑体" w:cs="黑体"/>
          <w:kern w:val="2"/>
          <w:sz w:val="32"/>
          <w:szCs w:val="32"/>
          <w:highlight w:val="none"/>
          <w:lang w:val="en-US" w:eastAsia="zh-CN"/>
        </w:rPr>
      </w:pPr>
      <w:r>
        <w:rPr>
          <w:rFonts w:hint="eastAsia" w:ascii="仿宋" w:hAnsi="仿宋" w:eastAsia="仿宋"/>
          <w:color w:val="000000"/>
          <w:sz w:val="32"/>
          <w:szCs w:val="24"/>
          <w:highlight w:val="none"/>
          <w:lang w:val="en-US"/>
        </w:rPr>
        <w:t>本年支出合计</w:t>
      </w:r>
      <w:r>
        <w:rPr>
          <w:rFonts w:hint="eastAsia" w:ascii="仿宋" w:hAnsi="仿宋" w:eastAsia="仿宋"/>
          <w:color w:val="000000"/>
          <w:sz w:val="32"/>
          <w:szCs w:val="24"/>
          <w:highlight w:val="none"/>
          <w:lang w:val="en-US" w:eastAsia="zh-CN"/>
        </w:rPr>
        <w:t>2278.18</w:t>
      </w:r>
      <w:r>
        <w:rPr>
          <w:rFonts w:hint="eastAsia" w:ascii="仿宋" w:hAnsi="仿宋" w:eastAsia="仿宋"/>
          <w:color w:val="000000"/>
          <w:sz w:val="32"/>
          <w:szCs w:val="24"/>
          <w:highlight w:val="none"/>
          <w:lang w:val="en-US"/>
        </w:rPr>
        <w:t>万元，其中基本支出</w:t>
      </w:r>
      <w:r>
        <w:rPr>
          <w:rFonts w:hint="eastAsia" w:ascii="仿宋" w:hAnsi="仿宋" w:eastAsia="仿宋"/>
          <w:color w:val="000000"/>
          <w:sz w:val="32"/>
          <w:szCs w:val="24"/>
          <w:highlight w:val="none"/>
          <w:lang w:val="en-US" w:eastAsia="zh-CN"/>
        </w:rPr>
        <w:t>1723.95</w:t>
      </w:r>
      <w:r>
        <w:rPr>
          <w:rFonts w:hint="eastAsia" w:ascii="仿宋" w:hAnsi="仿宋" w:eastAsia="仿宋"/>
          <w:color w:val="000000"/>
          <w:sz w:val="32"/>
          <w:szCs w:val="24"/>
          <w:highlight w:val="none"/>
          <w:lang w:val="en-US"/>
        </w:rPr>
        <w:t>万元，占</w:t>
      </w:r>
      <w:r>
        <w:rPr>
          <w:rFonts w:hint="eastAsia" w:ascii="仿宋" w:hAnsi="仿宋" w:eastAsia="仿宋"/>
          <w:color w:val="000000"/>
          <w:sz w:val="32"/>
          <w:szCs w:val="24"/>
          <w:highlight w:val="none"/>
          <w:lang w:val="en-US" w:eastAsia="zh-CN"/>
        </w:rPr>
        <w:t>75.67</w:t>
      </w:r>
      <w:r>
        <w:rPr>
          <w:rFonts w:hint="eastAsia" w:ascii="仿宋" w:hAnsi="仿宋" w:eastAsia="仿宋"/>
          <w:color w:val="000000"/>
          <w:sz w:val="32"/>
          <w:szCs w:val="24"/>
          <w:highlight w:val="none"/>
          <w:lang w:val="en-US"/>
        </w:rPr>
        <w:t>%；项目支出</w:t>
      </w:r>
      <w:r>
        <w:rPr>
          <w:rFonts w:hint="eastAsia" w:ascii="仿宋" w:hAnsi="仿宋" w:eastAsia="仿宋"/>
          <w:color w:val="000000"/>
          <w:sz w:val="32"/>
          <w:szCs w:val="24"/>
          <w:highlight w:val="none"/>
          <w:lang w:val="en-US" w:eastAsia="zh-CN"/>
        </w:rPr>
        <w:t>554.23</w:t>
      </w:r>
      <w:r>
        <w:rPr>
          <w:rFonts w:hint="eastAsia" w:ascii="仿宋" w:hAnsi="仿宋" w:eastAsia="仿宋"/>
          <w:color w:val="000000"/>
          <w:sz w:val="32"/>
          <w:szCs w:val="24"/>
          <w:highlight w:val="none"/>
          <w:lang w:val="en-US"/>
        </w:rPr>
        <w:t>万元，占</w:t>
      </w:r>
      <w:r>
        <w:rPr>
          <w:rFonts w:hint="eastAsia" w:ascii="仿宋" w:hAnsi="仿宋" w:eastAsia="仿宋"/>
          <w:color w:val="000000"/>
          <w:sz w:val="32"/>
          <w:szCs w:val="24"/>
          <w:highlight w:val="none"/>
          <w:lang w:val="en-US" w:eastAsia="zh-CN"/>
        </w:rPr>
        <w:t>24.33</w:t>
      </w:r>
      <w:r>
        <w:rPr>
          <w:rFonts w:hint="eastAsia" w:ascii="仿宋" w:hAnsi="仿宋" w:eastAsia="仿宋"/>
          <w:color w:val="000000"/>
          <w:sz w:val="32"/>
          <w:szCs w:val="24"/>
          <w:highlight w:val="none"/>
          <w:lang w:val="en-US"/>
        </w:rPr>
        <w:t>%；上缴上级支出</w:t>
      </w:r>
      <w:r>
        <w:rPr>
          <w:rFonts w:hint="eastAsia" w:ascii="仿宋" w:hAnsi="仿宋" w:eastAsia="仿宋"/>
          <w:color w:val="000000"/>
          <w:sz w:val="32"/>
          <w:szCs w:val="24"/>
          <w:highlight w:val="none"/>
          <w:lang w:val="zh-CN"/>
        </w:rPr>
        <w:t>0.00</w:t>
      </w:r>
      <w:r>
        <w:rPr>
          <w:rFonts w:hint="eastAsia" w:ascii="仿宋" w:hAnsi="仿宋" w:eastAsia="仿宋"/>
          <w:color w:val="000000"/>
          <w:sz w:val="32"/>
          <w:szCs w:val="24"/>
          <w:highlight w:val="none"/>
          <w:lang w:val="en-US"/>
        </w:rPr>
        <w:t>万元，占</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%；经营支出</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万元，占</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%；对附属</w:t>
      </w:r>
      <w:r>
        <w:rPr>
          <w:rFonts w:hint="eastAsia" w:ascii="仿宋" w:hAnsi="仿宋" w:eastAsia="仿宋"/>
          <w:color w:val="000000"/>
          <w:sz w:val="32"/>
          <w:szCs w:val="24"/>
          <w:highlight w:val="none"/>
          <w:lang w:val="en-US" w:eastAsia="zh-CN"/>
        </w:rPr>
        <w:t>部门</w:t>
      </w:r>
      <w:r>
        <w:rPr>
          <w:rFonts w:hint="eastAsia" w:ascii="仿宋" w:hAnsi="仿宋" w:eastAsia="仿宋"/>
          <w:color w:val="000000"/>
          <w:sz w:val="32"/>
          <w:szCs w:val="24"/>
          <w:highlight w:val="none"/>
          <w:lang w:val="en-US"/>
        </w:rPr>
        <w:t>补助支出</w:t>
      </w:r>
      <w:r>
        <w:rPr>
          <w:rFonts w:hint="eastAsia" w:ascii="仿宋" w:hAnsi="仿宋" w:eastAsia="仿宋"/>
          <w:color w:val="000000"/>
          <w:sz w:val="32"/>
          <w:szCs w:val="24"/>
          <w:highlight w:val="none"/>
          <w:lang w:val="zh-CN"/>
        </w:rPr>
        <w:t>0.00</w:t>
      </w:r>
      <w:r>
        <w:rPr>
          <w:rFonts w:hint="eastAsia" w:ascii="仿宋" w:hAnsi="仿宋" w:eastAsia="仿宋"/>
          <w:color w:val="000000"/>
          <w:sz w:val="32"/>
          <w:szCs w:val="24"/>
          <w:highlight w:val="none"/>
          <w:lang w:val="en-US"/>
        </w:rPr>
        <w:t>万元，占</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w:t>
      </w:r>
    </w:p>
    <w:p>
      <w:pPr>
        <w:spacing w:beforeLines="0" w:afterLines="0" w:line="600" w:lineRule="exact"/>
        <w:ind w:firstLine="641"/>
        <w:jc w:val="left"/>
        <w:outlineLvl w:val="1"/>
        <w:rPr>
          <w:rFonts w:hint="eastAsia" w:ascii="楷体" w:hAnsi="楷体" w:eastAsia="楷体"/>
          <w:b w:val="0"/>
          <w:bCs/>
          <w:color w:val="000000"/>
          <w:sz w:val="32"/>
          <w:szCs w:val="24"/>
          <w:highlight w:val="none"/>
          <w:lang w:val="en-US"/>
        </w:rPr>
      </w:pPr>
      <w:bookmarkStart w:id="28" w:name="_Toc32033"/>
      <w:bookmarkStart w:id="29" w:name="_Toc_1_2_0000000051"/>
      <w:r>
        <w:rPr>
          <w:rFonts w:hint="eastAsia" w:ascii="黑体" w:hAnsi="宋体" w:eastAsia="黑体" w:cs="黑体"/>
          <w:kern w:val="2"/>
          <w:sz w:val="32"/>
          <w:szCs w:val="32"/>
          <w:lang w:val="en-US" w:eastAsia="zh-CN"/>
        </w:rPr>
        <w:t>（四）财政拨款收入支出决算总体情况说明</w:t>
      </w:r>
      <w:bookmarkEnd w:id="28"/>
      <w:bookmarkEnd w:id="29"/>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kern w:val="0"/>
          <w:sz w:val="32"/>
          <w:szCs w:val="32"/>
          <w:highlight w:val="none"/>
          <w:lang w:val="en-US" w:eastAsia="zh-CN"/>
        </w:rPr>
      </w:pPr>
      <w:r>
        <w:rPr>
          <w:rFonts w:hint="eastAsia" w:ascii="仿宋" w:hAnsi="仿宋" w:eastAsia="仿宋" w:cs="仿宋"/>
          <w:color w:val="000000"/>
          <w:sz w:val="32"/>
          <w:szCs w:val="24"/>
          <w:highlight w:val="none"/>
          <w:lang w:val="en-US" w:eastAsia="zh-CN"/>
        </w:rPr>
        <w:t>2023</w:t>
      </w:r>
      <w:r>
        <w:rPr>
          <w:rFonts w:hint="eastAsia" w:ascii="仿宋" w:hAnsi="仿宋" w:eastAsia="仿宋" w:cs="仿宋"/>
          <w:color w:val="000000"/>
          <w:sz w:val="32"/>
          <w:szCs w:val="24"/>
          <w:highlight w:val="none"/>
          <w:lang w:val="en-US"/>
        </w:rPr>
        <w:t>年度财政拨款收入总计</w:t>
      </w:r>
      <w:r>
        <w:rPr>
          <w:rFonts w:hint="eastAsia" w:ascii="仿宋" w:hAnsi="仿宋" w:eastAsia="仿宋" w:cs="仿宋"/>
          <w:color w:val="000000"/>
          <w:sz w:val="32"/>
          <w:szCs w:val="24"/>
          <w:highlight w:val="none"/>
          <w:lang w:val="en-US" w:eastAsia="zh-CN"/>
        </w:rPr>
        <w:t>2273.44</w:t>
      </w:r>
      <w:r>
        <w:rPr>
          <w:rFonts w:hint="eastAsia" w:ascii="仿宋" w:hAnsi="仿宋" w:eastAsia="仿宋" w:cs="仿宋"/>
          <w:color w:val="000000"/>
          <w:sz w:val="32"/>
          <w:szCs w:val="24"/>
          <w:highlight w:val="none"/>
          <w:lang w:val="en-US"/>
        </w:rPr>
        <w:t>万元，支出总计</w:t>
      </w:r>
      <w:r>
        <w:rPr>
          <w:rFonts w:hint="eastAsia" w:ascii="仿宋" w:hAnsi="仿宋" w:eastAsia="仿宋" w:cs="仿宋"/>
          <w:color w:val="000000"/>
          <w:sz w:val="32"/>
          <w:szCs w:val="24"/>
          <w:highlight w:val="none"/>
          <w:lang w:val="en-US" w:eastAsia="zh-CN"/>
        </w:rPr>
        <w:t>2273.44</w:t>
      </w:r>
      <w:r>
        <w:rPr>
          <w:rFonts w:hint="eastAsia" w:ascii="仿宋" w:hAnsi="仿宋" w:eastAsia="仿宋" w:cs="仿宋"/>
          <w:color w:val="000000"/>
          <w:sz w:val="32"/>
          <w:szCs w:val="24"/>
          <w:highlight w:val="none"/>
          <w:lang w:val="en-US"/>
        </w:rPr>
        <w:t>万元，与</w:t>
      </w:r>
      <w:r>
        <w:rPr>
          <w:rFonts w:hint="eastAsia" w:ascii="仿宋" w:hAnsi="仿宋" w:eastAsia="仿宋" w:cs="仿宋"/>
          <w:color w:val="000000"/>
          <w:sz w:val="32"/>
          <w:szCs w:val="24"/>
          <w:highlight w:val="none"/>
          <w:lang w:val="en-US" w:eastAsia="zh-CN"/>
        </w:rPr>
        <w:t>2022</w:t>
      </w:r>
      <w:r>
        <w:rPr>
          <w:rFonts w:hint="eastAsia" w:ascii="仿宋" w:hAnsi="仿宋" w:eastAsia="仿宋" w:cs="仿宋"/>
          <w:color w:val="000000"/>
          <w:sz w:val="32"/>
          <w:szCs w:val="24"/>
          <w:highlight w:val="none"/>
          <w:lang w:val="en-US"/>
        </w:rPr>
        <w:t>年相比，</w:t>
      </w:r>
      <w:r>
        <w:rPr>
          <w:rFonts w:hint="eastAsia" w:ascii="仿宋" w:hAnsi="仿宋" w:eastAsia="仿宋" w:cs="仿宋"/>
          <w:color w:val="000000"/>
          <w:sz w:val="32"/>
          <w:szCs w:val="24"/>
          <w:highlight w:val="none"/>
          <w:lang w:val="en-US" w:eastAsia="zh-CN"/>
        </w:rPr>
        <w:t>各</w:t>
      </w:r>
      <w:r>
        <w:rPr>
          <w:rFonts w:hint="eastAsia" w:ascii="仿宋" w:hAnsi="仿宋" w:eastAsia="仿宋" w:cs="仿宋"/>
          <w:color w:val="auto"/>
          <w:sz w:val="32"/>
          <w:szCs w:val="32"/>
          <w:highlight w:val="none"/>
        </w:rPr>
        <w:t>增加34.97万元，增长1.56%</w:t>
      </w:r>
      <w:r>
        <w:rPr>
          <w:rFonts w:hint="eastAsia" w:ascii="仿宋" w:hAnsi="仿宋" w:eastAsia="仿宋" w:cs="仿宋"/>
          <w:color w:val="000000"/>
          <w:sz w:val="32"/>
          <w:szCs w:val="24"/>
          <w:highlight w:val="none"/>
          <w:lang w:val="en-US"/>
        </w:rPr>
        <w:t>。主要原因是</w:t>
      </w:r>
      <w:r>
        <w:rPr>
          <w:rFonts w:hint="eastAsia" w:ascii="仿宋" w:hAnsi="仿宋" w:eastAsia="仿宋" w:cs="仿宋"/>
          <w:kern w:val="0"/>
          <w:sz w:val="32"/>
          <w:szCs w:val="32"/>
          <w:lang w:val="en-US" w:eastAsia="zh-CN"/>
        </w:rPr>
        <w:t>工资福利支出有调整。</w:t>
      </w:r>
      <w:r>
        <w:rPr>
          <w:rFonts w:hint="eastAsia" w:ascii="仿宋" w:hAnsi="仿宋" w:eastAsia="仿宋" w:cs="仿宋"/>
          <w:color w:val="000000"/>
          <w:sz w:val="32"/>
          <w:szCs w:val="24"/>
          <w:highlight w:val="none"/>
          <w:lang w:val="en-US"/>
        </w:rPr>
        <w:t>财政拨款支出年初预算数</w:t>
      </w:r>
      <w:r>
        <w:rPr>
          <w:rFonts w:hint="eastAsia" w:ascii="仿宋" w:hAnsi="仿宋" w:eastAsia="仿宋" w:cs="仿宋"/>
          <w:color w:val="000000"/>
          <w:sz w:val="32"/>
          <w:szCs w:val="24"/>
          <w:highlight w:val="none"/>
          <w:lang w:val="en-US" w:eastAsia="zh-CN"/>
        </w:rPr>
        <w:t>1952.92</w:t>
      </w:r>
      <w:r>
        <w:rPr>
          <w:rFonts w:hint="eastAsia" w:ascii="仿宋" w:hAnsi="仿宋" w:eastAsia="仿宋" w:cs="仿宋"/>
          <w:color w:val="000000"/>
          <w:sz w:val="32"/>
          <w:szCs w:val="24"/>
          <w:highlight w:val="none"/>
          <w:lang w:val="en-US"/>
        </w:rPr>
        <w:t>万元，完成年初预算的</w:t>
      </w:r>
      <w:r>
        <w:rPr>
          <w:rFonts w:hint="eastAsia" w:ascii="仿宋" w:hAnsi="仿宋" w:eastAsia="仿宋" w:cs="仿宋"/>
          <w:color w:val="000000"/>
          <w:sz w:val="32"/>
          <w:szCs w:val="24"/>
          <w:highlight w:val="none"/>
          <w:lang w:val="en-US" w:eastAsia="zh-CN"/>
        </w:rPr>
        <w:t>116.41</w:t>
      </w:r>
      <w:r>
        <w:rPr>
          <w:rFonts w:hint="eastAsia" w:ascii="仿宋" w:hAnsi="仿宋" w:eastAsia="仿宋" w:cs="仿宋"/>
          <w:color w:val="000000"/>
          <w:sz w:val="32"/>
          <w:szCs w:val="24"/>
          <w:highlight w:val="none"/>
          <w:lang w:val="en-US"/>
        </w:rPr>
        <w:t>%，主要原因</w:t>
      </w:r>
      <w:r>
        <w:rPr>
          <w:rFonts w:hint="eastAsia" w:ascii="仿宋" w:hAnsi="仿宋" w:eastAsia="仿宋" w:cs="仿宋"/>
          <w:color w:val="000000"/>
          <w:sz w:val="32"/>
          <w:szCs w:val="24"/>
          <w:highlight w:val="none"/>
          <w:lang w:val="en-US" w:eastAsia="zh-CN"/>
        </w:rPr>
        <w:t>是</w:t>
      </w:r>
      <w:r>
        <w:rPr>
          <w:rFonts w:hint="eastAsia" w:ascii="仿宋" w:hAnsi="仿宋" w:eastAsia="仿宋" w:cs="仿宋"/>
          <w:kern w:val="0"/>
          <w:sz w:val="32"/>
          <w:szCs w:val="32"/>
          <w:lang w:val="en-US" w:eastAsia="zh-CN"/>
        </w:rPr>
        <w:t>项目中期有调整。</w:t>
      </w:r>
    </w:p>
    <w:p>
      <w:pPr>
        <w:spacing w:beforeLines="0" w:afterLines="0" w:line="600" w:lineRule="exact"/>
        <w:ind w:firstLine="641"/>
        <w:jc w:val="left"/>
        <w:outlineLvl w:val="1"/>
        <w:rPr>
          <w:rFonts w:hint="eastAsia" w:ascii="黑体" w:hAnsi="黑体" w:eastAsia="黑体"/>
          <w:b w:val="0"/>
          <w:bCs/>
          <w:color w:val="000000"/>
          <w:sz w:val="32"/>
          <w:szCs w:val="24"/>
          <w:highlight w:val="none"/>
          <w:lang w:val="en-US" w:eastAsia="zh-CN"/>
        </w:rPr>
      </w:pPr>
      <w:bookmarkStart w:id="30" w:name="_Toc10297"/>
      <w:bookmarkStart w:id="31" w:name="_Toc_1_2_0000000052"/>
      <w:r>
        <w:rPr>
          <w:rFonts w:hint="eastAsia" w:ascii="黑体" w:hAnsi="宋体" w:eastAsia="黑体" w:cs="黑体"/>
          <w:kern w:val="2"/>
          <w:sz w:val="32"/>
          <w:szCs w:val="32"/>
          <w:lang w:val="en-US" w:eastAsia="zh-CN"/>
        </w:rPr>
        <w:t>（五）一般公共预算财政拨款支出决算情况说明</w:t>
      </w:r>
      <w:bookmarkEnd w:id="30"/>
      <w:bookmarkEnd w:id="31"/>
    </w:p>
    <w:p>
      <w:pPr>
        <w:spacing w:beforeLines="0" w:afterLines="0" w:line="600" w:lineRule="exact"/>
        <w:ind w:firstLine="606"/>
        <w:outlineLvl w:val="9"/>
        <w:rPr>
          <w:rFonts w:hint="eastAsia" w:ascii="仿宋" w:hAnsi="仿宋" w:eastAsia="仿宋" w:cs="仿宋"/>
          <w:color w:val="000000"/>
          <w:sz w:val="32"/>
          <w:szCs w:val="24"/>
          <w:highlight w:val="none"/>
          <w:lang w:val="en-US"/>
        </w:rPr>
      </w:pPr>
      <w:bookmarkStart w:id="32" w:name="_Toc23578"/>
      <w:r>
        <w:rPr>
          <w:rFonts w:hint="eastAsia" w:ascii="仿宋" w:hAnsi="仿宋" w:eastAsia="仿宋" w:cs="仿宋"/>
          <w:kern w:val="2"/>
          <w:sz w:val="32"/>
          <w:szCs w:val="32"/>
          <w:highlight w:val="none"/>
          <w:lang w:val="en-US" w:eastAsia="zh-CN"/>
        </w:rPr>
        <w:t>1.一般公共预算财政拨款支出决算总体情况</w:t>
      </w:r>
      <w:bookmarkEnd w:id="32"/>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kern w:val="2"/>
          <w:sz w:val="32"/>
          <w:szCs w:val="32"/>
          <w:highlight w:val="none"/>
          <w:lang w:val="en-US" w:eastAsia="zh-CN"/>
        </w:rPr>
        <w:t>2023年度一般公共预算财政拨款支出2273.44万元，占本年支出合计的99.79%。与2022年相比，一般公共预算财政拨款支出</w:t>
      </w:r>
      <w:r>
        <w:rPr>
          <w:rFonts w:hint="eastAsia" w:ascii="仿宋" w:hAnsi="仿宋" w:eastAsia="仿宋" w:cs="仿宋"/>
          <w:color w:val="auto"/>
          <w:sz w:val="32"/>
          <w:szCs w:val="32"/>
          <w:highlight w:val="none"/>
        </w:rPr>
        <w:t>增加34.97万元，增长1.56%</w:t>
      </w:r>
      <w:r>
        <w:rPr>
          <w:rFonts w:hint="eastAsia" w:ascii="仿宋" w:hAnsi="仿宋" w:eastAsia="仿宋" w:cs="仿宋"/>
          <w:kern w:val="2"/>
          <w:sz w:val="32"/>
          <w:szCs w:val="32"/>
          <w:highlight w:val="none"/>
          <w:lang w:val="en-US" w:eastAsia="zh-CN"/>
        </w:rPr>
        <w:t>。主要原因是：人员有调整。</w:t>
      </w:r>
    </w:p>
    <w:p>
      <w:pPr>
        <w:spacing w:beforeLines="0" w:afterLines="0" w:line="600" w:lineRule="exact"/>
        <w:ind w:firstLine="606"/>
        <w:outlineLvl w:val="9"/>
        <w:rPr>
          <w:rFonts w:hint="eastAsia" w:ascii="仿宋" w:hAnsi="仿宋" w:eastAsia="仿宋" w:cs="仿宋"/>
          <w:color w:val="000000"/>
          <w:sz w:val="32"/>
          <w:szCs w:val="24"/>
          <w:highlight w:val="none"/>
          <w:lang w:val="en-US"/>
        </w:rPr>
      </w:pPr>
      <w:bookmarkStart w:id="33" w:name="_Toc22893"/>
      <w:r>
        <w:rPr>
          <w:rFonts w:hint="eastAsia" w:ascii="仿宋" w:hAnsi="仿宋" w:eastAsia="仿宋" w:cs="仿宋"/>
          <w:kern w:val="2"/>
          <w:sz w:val="32"/>
          <w:szCs w:val="32"/>
          <w:highlight w:val="none"/>
          <w:lang w:val="en-US" w:eastAsia="zh-CN"/>
        </w:rPr>
        <w:t>2.一般公共预算财政拨款支出决算结构情况</w:t>
      </w:r>
      <w:bookmarkEnd w:id="33"/>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kern w:val="2"/>
          <w:sz w:val="32"/>
          <w:szCs w:val="32"/>
          <w:highlight w:val="none"/>
          <w:lang w:val="en-US" w:eastAsia="zh-CN"/>
        </w:rPr>
        <w:t>2023年度一般公共预算财政拨款支出2273.44万元，主要用于以下方面：一般公共服务支出（类）24.79万元，占1.09%；公共安全支出（类）2140.76万元，占94.16%；住房保障支出（类）107.89万元，占4.75%。</w:t>
      </w:r>
    </w:p>
    <w:p>
      <w:pPr>
        <w:spacing w:beforeLines="0" w:afterLines="0" w:line="600" w:lineRule="exact"/>
        <w:ind w:firstLine="606"/>
        <w:outlineLvl w:val="9"/>
        <w:rPr>
          <w:rFonts w:hint="eastAsia" w:ascii="仿宋" w:hAnsi="仿宋" w:eastAsia="仿宋" w:cs="仿宋"/>
          <w:color w:val="000000"/>
          <w:sz w:val="32"/>
          <w:szCs w:val="24"/>
          <w:highlight w:val="none"/>
          <w:lang w:val="en-US"/>
        </w:rPr>
      </w:pPr>
      <w:bookmarkStart w:id="34" w:name="_Toc26641"/>
      <w:r>
        <w:rPr>
          <w:rFonts w:hint="eastAsia" w:ascii="仿宋" w:hAnsi="仿宋" w:eastAsia="仿宋" w:cs="仿宋"/>
          <w:kern w:val="2"/>
          <w:sz w:val="32"/>
          <w:szCs w:val="32"/>
          <w:highlight w:val="none"/>
          <w:lang w:val="en-US" w:eastAsia="zh-CN"/>
        </w:rPr>
        <w:t>3.一般公共预算财政拨款支出决算具体情况</w:t>
      </w:r>
      <w:bookmarkEnd w:id="34"/>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kern w:val="2"/>
          <w:sz w:val="32"/>
          <w:szCs w:val="32"/>
          <w:highlight w:val="none"/>
          <w:lang w:val="en-US" w:eastAsia="zh-CN"/>
        </w:rPr>
        <w:t>2023年度一般公共预算财政拨款支出年初预算为1952.92万元，支出决算为2273.44万元,完成年初预算的116.41%，主要原因是：项目中期有调整。</w:t>
      </w:r>
      <w:r>
        <w:rPr>
          <w:rFonts w:hint="eastAsia" w:ascii="仿宋" w:hAnsi="仿宋" w:eastAsia="仿宋" w:cs="仿宋"/>
          <w:sz w:val="32"/>
          <w:szCs w:val="40"/>
          <w:lang w:val="en-US" w:eastAsia="zh-CN"/>
        </w:rPr>
        <w:t>其中：</w:t>
      </w:r>
    </w:p>
    <w:p>
      <w:pPr>
        <w:spacing w:beforeLines="0" w:afterLines="0" w:line="600" w:lineRule="exact"/>
        <w:ind w:firstLine="640"/>
        <w:rPr>
          <w:rFonts w:hint="eastAsia" w:ascii="仿宋" w:hAnsi="仿宋" w:eastAsia="仿宋" w:cs="仿宋"/>
          <w:kern w:val="2"/>
          <w:sz w:val="32"/>
          <w:szCs w:val="32"/>
          <w:highlight w:val="none"/>
          <w:lang w:val="en-US" w:eastAsia="zh-CN"/>
        </w:rPr>
      </w:pPr>
      <w:r>
        <w:rPr>
          <w:rFonts w:hint="eastAsia" w:ascii="仿宋" w:hAnsi="仿宋" w:eastAsia="仿宋" w:cs="仿宋"/>
          <w:b/>
          <w:kern w:val="2"/>
          <w:sz w:val="32"/>
          <w:szCs w:val="32"/>
          <w:highlight w:val="none"/>
          <w:lang w:val="en-US" w:eastAsia="zh-CN"/>
        </w:rPr>
        <w:t>公共安全支出（类）检察（款）行政运行（项）</w:t>
      </w:r>
      <w:r>
        <w:rPr>
          <w:rFonts w:hint="eastAsia" w:ascii="仿宋" w:hAnsi="仿宋" w:eastAsia="仿宋" w:cs="仿宋"/>
          <w:kern w:val="2"/>
          <w:sz w:val="32"/>
          <w:szCs w:val="32"/>
          <w:highlight w:val="none"/>
          <w:lang w:val="en-US" w:eastAsia="zh-CN"/>
        </w:rPr>
        <w:t>年初预算数为1483.33万元，支出决算数为1612.99万元,完成年初预算的108.74%，决算数大于预算数的主要原因人员有调整。</w:t>
      </w:r>
    </w:p>
    <w:p>
      <w:pPr>
        <w:spacing w:beforeLines="0" w:afterLines="0" w:line="600" w:lineRule="exact"/>
        <w:ind w:firstLine="640"/>
        <w:rPr>
          <w:rFonts w:hint="eastAsia" w:ascii="仿宋" w:hAnsi="仿宋" w:eastAsia="仿宋" w:cs="仿宋"/>
          <w:kern w:val="2"/>
          <w:sz w:val="32"/>
          <w:szCs w:val="32"/>
          <w:highlight w:val="none"/>
          <w:lang w:val="en-US" w:eastAsia="zh-CN"/>
        </w:rPr>
      </w:pPr>
      <w:r>
        <w:rPr>
          <w:rFonts w:hint="eastAsia" w:ascii="仿宋" w:hAnsi="仿宋" w:eastAsia="仿宋" w:cs="仿宋"/>
          <w:b/>
          <w:kern w:val="2"/>
          <w:sz w:val="32"/>
          <w:szCs w:val="32"/>
          <w:highlight w:val="none"/>
          <w:lang w:val="en-US" w:eastAsia="zh-CN"/>
        </w:rPr>
        <w:t>公共安全支出（类）检察（款）一般行政管理事务（项）</w:t>
      </w:r>
      <w:r>
        <w:rPr>
          <w:rFonts w:hint="eastAsia" w:ascii="仿宋" w:hAnsi="仿宋" w:eastAsia="仿宋" w:cs="仿宋"/>
          <w:kern w:val="2"/>
          <w:sz w:val="32"/>
          <w:szCs w:val="32"/>
          <w:highlight w:val="none"/>
          <w:lang w:val="en-US" w:eastAsia="zh-CN"/>
        </w:rPr>
        <w:t>年初预算数为124.00万元，支出决算数为181.38万元,完成年初预算的146.27%，决算数大于预算数的主要原因省补资金中期有再次下达。</w:t>
      </w:r>
    </w:p>
    <w:p>
      <w:pPr>
        <w:spacing w:beforeLines="0" w:afterLines="0" w:line="600" w:lineRule="exact"/>
        <w:ind w:firstLine="640"/>
        <w:rPr>
          <w:rFonts w:hint="eastAsia" w:ascii="仿宋" w:hAnsi="仿宋" w:eastAsia="仿宋" w:cs="仿宋"/>
          <w:kern w:val="2"/>
          <w:sz w:val="32"/>
          <w:szCs w:val="32"/>
          <w:highlight w:val="none"/>
          <w:lang w:val="en-US" w:eastAsia="zh-CN"/>
        </w:rPr>
      </w:pPr>
      <w:r>
        <w:rPr>
          <w:rFonts w:hint="eastAsia" w:ascii="仿宋" w:hAnsi="仿宋" w:eastAsia="仿宋" w:cs="仿宋"/>
          <w:b/>
          <w:kern w:val="2"/>
          <w:sz w:val="32"/>
          <w:szCs w:val="32"/>
          <w:highlight w:val="none"/>
          <w:lang w:val="en-US" w:eastAsia="zh-CN"/>
        </w:rPr>
        <w:t>公共安全支出（类）检察（款）其他检察支出（项）</w:t>
      </w:r>
      <w:r>
        <w:rPr>
          <w:rFonts w:hint="eastAsia" w:ascii="仿宋" w:hAnsi="仿宋" w:eastAsia="仿宋" w:cs="仿宋"/>
          <w:kern w:val="2"/>
          <w:sz w:val="32"/>
          <w:szCs w:val="32"/>
          <w:highlight w:val="none"/>
          <w:lang w:val="en-US" w:eastAsia="zh-CN"/>
        </w:rPr>
        <w:t>年初预算数为246.94万元，支出决算数为346.39万元,完成年初预算的140.27%，决算数大于预算数的主要原因项目（办案补助）有调整。</w:t>
      </w:r>
    </w:p>
    <w:p>
      <w:pPr>
        <w:spacing w:beforeLines="0" w:afterLines="0" w:line="600" w:lineRule="exact"/>
        <w:ind w:firstLine="640"/>
        <w:rPr>
          <w:rFonts w:hint="eastAsia" w:ascii="仿宋" w:hAnsi="仿宋" w:eastAsia="仿宋" w:cs="仿宋"/>
          <w:kern w:val="2"/>
          <w:sz w:val="32"/>
          <w:szCs w:val="32"/>
          <w:highlight w:val="none"/>
          <w:lang w:val="en-US" w:eastAsia="zh-CN"/>
        </w:rPr>
      </w:pPr>
      <w:r>
        <w:rPr>
          <w:rFonts w:hint="eastAsia" w:ascii="仿宋" w:hAnsi="仿宋" w:eastAsia="仿宋" w:cs="仿宋"/>
          <w:b/>
          <w:kern w:val="2"/>
          <w:sz w:val="32"/>
          <w:szCs w:val="32"/>
          <w:highlight w:val="none"/>
          <w:lang w:val="en-US" w:eastAsia="zh-CN"/>
        </w:rPr>
        <w:t>住房保障支出（类）住房改革支出（款）住房公积金（项）</w:t>
      </w:r>
      <w:r>
        <w:rPr>
          <w:rFonts w:hint="eastAsia" w:ascii="仿宋" w:hAnsi="仿宋" w:eastAsia="仿宋" w:cs="仿宋"/>
          <w:kern w:val="2"/>
          <w:sz w:val="32"/>
          <w:szCs w:val="32"/>
          <w:highlight w:val="none"/>
          <w:lang w:val="en-US" w:eastAsia="zh-CN"/>
        </w:rPr>
        <w:t>年初预算数为98.64万元，支出决算数为107.89万元,完成年初预算的109.37%，决算数大于预算数的主要原因有每年7月份公积金基数调整。</w:t>
      </w:r>
    </w:p>
    <w:p>
      <w:pPr>
        <w:spacing w:beforeLines="0" w:afterLines="0" w:line="600" w:lineRule="exact"/>
        <w:ind w:firstLine="640"/>
        <w:rPr>
          <w:rFonts w:hint="eastAsia" w:ascii="仿宋" w:hAnsi="仿宋" w:eastAsia="仿宋" w:cs="仿宋"/>
          <w:kern w:val="2"/>
          <w:sz w:val="32"/>
          <w:szCs w:val="32"/>
          <w:highlight w:val="none"/>
          <w:lang w:val="en-US" w:eastAsia="zh-CN"/>
        </w:rPr>
      </w:pPr>
      <w:r>
        <w:rPr>
          <w:rFonts w:hint="eastAsia" w:ascii="仿宋" w:hAnsi="仿宋" w:eastAsia="仿宋" w:cs="仿宋"/>
          <w:b/>
          <w:kern w:val="2"/>
          <w:sz w:val="32"/>
          <w:szCs w:val="32"/>
          <w:highlight w:val="none"/>
          <w:lang w:val="en-US" w:eastAsia="zh-CN"/>
        </w:rPr>
        <w:t>一般公共服务支出（类）其他共产党事务支出（款）其他共产党事务支出（项）</w:t>
      </w:r>
      <w:r>
        <w:rPr>
          <w:rFonts w:hint="eastAsia" w:ascii="仿宋" w:hAnsi="仿宋" w:eastAsia="仿宋" w:cs="仿宋"/>
          <w:kern w:val="2"/>
          <w:sz w:val="32"/>
          <w:szCs w:val="32"/>
          <w:highlight w:val="none"/>
          <w:lang w:val="en-US" w:eastAsia="zh-CN"/>
        </w:rPr>
        <w:t>年初预算数为0.00万元，支出决算数为24.79万元，决算数大于预算数的主要原因省补司法救助项目作为民生项目后期追加。</w:t>
      </w:r>
    </w:p>
    <w:p>
      <w:pPr>
        <w:spacing w:beforeLines="0" w:afterLines="0" w:line="600" w:lineRule="exact"/>
        <w:ind w:firstLine="641"/>
        <w:jc w:val="left"/>
        <w:outlineLvl w:val="1"/>
        <w:rPr>
          <w:rFonts w:hint="eastAsia" w:ascii="楷体" w:hAnsi="楷体" w:eastAsia="楷体"/>
          <w:b w:val="0"/>
          <w:bCs/>
          <w:color w:val="000000"/>
          <w:sz w:val="32"/>
          <w:szCs w:val="24"/>
          <w:highlight w:val="none"/>
          <w:lang w:val="en-US"/>
        </w:rPr>
      </w:pPr>
      <w:bookmarkStart w:id="35" w:name="_Toc31511"/>
      <w:bookmarkStart w:id="36" w:name="_Toc_1_2_0000000053"/>
      <w:r>
        <w:rPr>
          <w:rFonts w:hint="eastAsia" w:ascii="黑体" w:hAnsi="宋体" w:eastAsia="黑体" w:cs="黑体"/>
          <w:kern w:val="2"/>
          <w:sz w:val="32"/>
          <w:szCs w:val="32"/>
          <w:lang w:val="en-US" w:eastAsia="zh-CN"/>
        </w:rPr>
        <w:t>（六）一般公共预算财政拨款基本支出决算情况说明</w:t>
      </w:r>
      <w:bookmarkEnd w:id="35"/>
      <w:bookmarkEnd w:id="36"/>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eastAsia="zh-CN"/>
        </w:rPr>
        <w:t>2023</w:t>
      </w:r>
      <w:r>
        <w:rPr>
          <w:rFonts w:hint="eastAsia" w:ascii="仿宋" w:hAnsi="仿宋" w:eastAsia="仿宋" w:cs="仿宋"/>
          <w:color w:val="000000"/>
          <w:sz w:val="32"/>
          <w:szCs w:val="24"/>
          <w:highlight w:val="none"/>
          <w:lang w:val="en-US"/>
        </w:rPr>
        <w:t>年度一般公共预算财政拨款基本支出</w:t>
      </w:r>
      <w:r>
        <w:rPr>
          <w:rFonts w:hint="eastAsia" w:ascii="仿宋" w:hAnsi="仿宋" w:eastAsia="仿宋" w:cs="仿宋"/>
          <w:color w:val="000000"/>
          <w:sz w:val="32"/>
          <w:szCs w:val="24"/>
          <w:highlight w:val="none"/>
          <w:lang w:val="en-US" w:eastAsia="zh-CN"/>
        </w:rPr>
        <w:t>1720.87</w:t>
      </w:r>
      <w:r>
        <w:rPr>
          <w:rFonts w:hint="eastAsia" w:ascii="仿宋" w:hAnsi="仿宋" w:eastAsia="仿宋" w:cs="仿宋"/>
          <w:color w:val="000000"/>
          <w:sz w:val="32"/>
          <w:szCs w:val="24"/>
          <w:highlight w:val="none"/>
          <w:lang w:val="en-US"/>
        </w:rPr>
        <w:t>万元，其中：</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人员经费</w:t>
      </w:r>
      <w:r>
        <w:rPr>
          <w:rFonts w:hint="eastAsia" w:ascii="仿宋" w:hAnsi="仿宋" w:eastAsia="仿宋" w:cs="仿宋"/>
          <w:color w:val="000000"/>
          <w:sz w:val="32"/>
          <w:szCs w:val="24"/>
          <w:highlight w:val="none"/>
          <w:lang w:val="en-US" w:eastAsia="zh-CN"/>
        </w:rPr>
        <w:t>1516.87</w:t>
      </w:r>
      <w:r>
        <w:rPr>
          <w:rFonts w:hint="eastAsia" w:ascii="仿宋" w:hAnsi="仿宋" w:eastAsia="仿宋" w:cs="仿宋"/>
          <w:color w:val="000000"/>
          <w:sz w:val="32"/>
          <w:szCs w:val="24"/>
          <w:highlight w:val="none"/>
          <w:lang w:val="en-US"/>
        </w:rPr>
        <w:t>万元，主要包括：</w:t>
      </w:r>
      <w:r>
        <w:rPr>
          <w:rFonts w:hint="eastAsia" w:ascii="仿宋" w:hAnsi="仿宋" w:eastAsia="仿宋" w:cs="仿宋"/>
          <w:kern w:val="2"/>
          <w:sz w:val="32"/>
          <w:szCs w:val="32"/>
          <w:highlight w:val="none"/>
          <w:lang w:val="en-US" w:eastAsia="zh-CN"/>
        </w:rPr>
        <w:t>基本工资、津贴补贴、奖金、伙食补助费、绩效工资、机关事业部门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公用经费</w:t>
      </w:r>
      <w:r>
        <w:rPr>
          <w:rFonts w:hint="eastAsia" w:ascii="仿宋" w:hAnsi="仿宋" w:eastAsia="仿宋" w:cs="仿宋"/>
          <w:color w:val="000000"/>
          <w:sz w:val="32"/>
          <w:szCs w:val="24"/>
          <w:highlight w:val="none"/>
          <w:lang w:val="en-US" w:eastAsia="zh-CN"/>
        </w:rPr>
        <w:t>204.00</w:t>
      </w:r>
      <w:r>
        <w:rPr>
          <w:rFonts w:hint="eastAsia" w:ascii="仿宋" w:hAnsi="仿宋" w:eastAsia="仿宋" w:cs="仿宋"/>
          <w:color w:val="000000"/>
          <w:sz w:val="32"/>
          <w:szCs w:val="24"/>
          <w:highlight w:val="none"/>
          <w:lang w:val="en-US"/>
        </w:rPr>
        <w:t>万元，主要包括：</w:t>
      </w:r>
      <w:r>
        <w:rPr>
          <w:rFonts w:hint="eastAsia" w:ascii="仿宋" w:hAnsi="仿宋" w:eastAsia="仿宋" w:cs="仿宋"/>
          <w:kern w:val="2"/>
          <w:sz w:val="32"/>
          <w:szCs w:val="32"/>
          <w:highlight w:val="none"/>
          <w:lang w:val="en-US" w:eastAsia="zh-CN"/>
        </w:rPr>
        <w:t>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无形资产购置、其他资本性支出。</w:t>
      </w:r>
    </w:p>
    <w:p>
      <w:pPr>
        <w:spacing w:beforeLines="0" w:afterLines="0" w:line="600" w:lineRule="exact"/>
        <w:ind w:firstLine="640" w:firstLineChars="200"/>
        <w:outlineLvl w:val="1"/>
        <w:rPr>
          <w:rFonts w:hint="eastAsia" w:ascii="仿宋" w:hAnsi="仿宋" w:eastAsia="仿宋"/>
          <w:b w:val="0"/>
          <w:bCs/>
          <w:color w:val="000000"/>
          <w:sz w:val="32"/>
          <w:szCs w:val="24"/>
          <w:highlight w:val="none"/>
          <w:lang w:val="en-US"/>
        </w:rPr>
      </w:pPr>
      <w:bookmarkStart w:id="37" w:name="_Toc25082"/>
      <w:bookmarkStart w:id="38" w:name="_Toc_1_2_0000000054"/>
      <w:r>
        <w:rPr>
          <w:rFonts w:hint="eastAsia" w:ascii="黑体" w:hAnsi="宋体" w:eastAsia="黑体" w:cs="黑体"/>
          <w:kern w:val="2"/>
          <w:sz w:val="32"/>
          <w:szCs w:val="32"/>
          <w:lang w:val="en-US" w:eastAsia="zh-CN"/>
        </w:rPr>
        <w:t>（七）政府性基金预算财政拨款支出决算总体情况说明</w:t>
      </w:r>
      <w:bookmarkEnd w:id="37"/>
      <w:bookmarkEnd w:id="38"/>
    </w:p>
    <w:p>
      <w:pPr>
        <w:spacing w:beforeLines="0" w:afterLines="0" w:line="600" w:lineRule="exact"/>
        <w:ind w:firstLine="640"/>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 xml:space="preserve"> 本部门2023年度无政府性基金预算财政拨款收支安排，故无相关数据。</w:t>
      </w:r>
    </w:p>
    <w:p>
      <w:pPr>
        <w:spacing w:beforeLines="0" w:afterLines="0" w:line="600" w:lineRule="exact"/>
        <w:ind w:firstLine="594"/>
        <w:outlineLvl w:val="1"/>
        <w:rPr>
          <w:rFonts w:hint="eastAsia" w:ascii="仿宋" w:hAnsi="仿宋" w:eastAsia="仿宋"/>
          <w:b w:val="0"/>
          <w:bCs/>
          <w:color w:val="000000"/>
          <w:sz w:val="32"/>
          <w:szCs w:val="24"/>
          <w:highlight w:val="none"/>
          <w:lang w:val="en-US"/>
        </w:rPr>
      </w:pPr>
      <w:bookmarkStart w:id="39" w:name="_Toc15115"/>
      <w:bookmarkStart w:id="40" w:name="_Toc_1_2_0000000055"/>
      <w:r>
        <w:rPr>
          <w:rFonts w:hint="eastAsia" w:ascii="黑体" w:hAnsi="宋体" w:eastAsia="黑体" w:cs="黑体"/>
          <w:kern w:val="2"/>
          <w:sz w:val="32"/>
          <w:szCs w:val="32"/>
          <w:lang w:val="en-US" w:eastAsia="zh-CN"/>
        </w:rPr>
        <w:t>（八）国有资本经营预算财政拨款支出决算总体情况说明</w:t>
      </w:r>
      <w:bookmarkEnd w:id="39"/>
      <w:bookmarkEnd w:id="40"/>
    </w:p>
    <w:p>
      <w:pPr>
        <w:spacing w:beforeLines="0" w:afterLines="0" w:line="600" w:lineRule="exact"/>
        <w:ind w:firstLine="640"/>
        <w:rPr>
          <w:rFonts w:hint="eastAsia" w:ascii="仿宋" w:hAnsi="仿宋" w:eastAsia="仿宋" w:cs="仿宋"/>
          <w:b w:val="0"/>
          <w:bCs/>
          <w:color w:val="000000"/>
          <w:sz w:val="32"/>
          <w:szCs w:val="24"/>
          <w:highlight w:val="none"/>
          <w:lang w:val="en-US"/>
        </w:rPr>
      </w:pPr>
      <w:r>
        <w:rPr>
          <w:rFonts w:hint="eastAsia" w:ascii="仿宋" w:hAnsi="仿宋" w:eastAsia="仿宋" w:cs="仿宋"/>
          <w:kern w:val="2"/>
          <w:sz w:val="32"/>
          <w:szCs w:val="32"/>
          <w:highlight w:val="none"/>
          <w:lang w:val="en-US" w:eastAsia="zh-CN"/>
        </w:rPr>
        <w:t>本部门2023年度无国有资本经营预算财政拨款收支安排，故无相关数据。</w:t>
      </w:r>
    </w:p>
    <w:p>
      <w:pPr>
        <w:spacing w:beforeLines="0" w:afterLines="0" w:line="600" w:lineRule="exact"/>
        <w:ind w:firstLine="641"/>
        <w:jc w:val="left"/>
        <w:outlineLvl w:val="1"/>
        <w:rPr>
          <w:rFonts w:hint="eastAsia" w:ascii="楷体" w:hAnsi="楷体" w:eastAsia="楷体"/>
          <w:b/>
          <w:color w:val="000000"/>
          <w:sz w:val="32"/>
          <w:szCs w:val="24"/>
          <w:highlight w:val="none"/>
          <w:lang w:val="en-US"/>
        </w:rPr>
      </w:pPr>
      <w:bookmarkStart w:id="41" w:name="_Toc16928"/>
      <w:bookmarkStart w:id="42" w:name="_Toc_1_2_0000000056"/>
      <w:r>
        <w:rPr>
          <w:rFonts w:hint="eastAsia" w:ascii="黑体" w:hAnsi="宋体" w:eastAsia="黑体" w:cs="黑体"/>
          <w:kern w:val="2"/>
          <w:sz w:val="32"/>
          <w:szCs w:val="32"/>
          <w:lang w:val="en-US" w:eastAsia="zh-CN"/>
        </w:rPr>
        <w:t>（九）财政拨款“三公”经费支出决算情况说明</w:t>
      </w:r>
      <w:bookmarkEnd w:id="41"/>
      <w:bookmarkEnd w:id="42"/>
    </w:p>
    <w:p>
      <w:pPr>
        <w:spacing w:beforeLines="0" w:afterLines="0" w:line="600" w:lineRule="exact"/>
        <w:ind w:firstLine="594"/>
        <w:outlineLvl w:val="9"/>
        <w:rPr>
          <w:rFonts w:hint="eastAsia" w:ascii="仿宋" w:hAnsi="仿宋" w:eastAsia="仿宋" w:cs="仿宋"/>
          <w:b/>
          <w:color w:val="000000"/>
          <w:sz w:val="32"/>
          <w:szCs w:val="24"/>
          <w:highlight w:val="none"/>
          <w:lang w:val="en-US"/>
        </w:rPr>
      </w:pPr>
      <w:bookmarkStart w:id="43" w:name="_Toc15682"/>
      <w:r>
        <w:rPr>
          <w:rFonts w:hint="eastAsia" w:ascii="仿宋" w:hAnsi="仿宋" w:eastAsia="仿宋" w:cs="仿宋"/>
          <w:b/>
          <w:color w:val="000000"/>
          <w:sz w:val="32"/>
          <w:szCs w:val="24"/>
          <w:highlight w:val="none"/>
          <w:lang w:val="en-US"/>
        </w:rPr>
        <w:t>1.“三公”经费财政拨款支出决算总体情况说明</w:t>
      </w:r>
      <w:bookmarkEnd w:id="43"/>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 w:val="32"/>
          <w:szCs w:val="24"/>
          <w:highlight w:val="none"/>
          <w:lang w:val="en-US" w:eastAsia="zh-CN"/>
        </w:rPr>
      </w:pPr>
      <w:r>
        <w:rPr>
          <w:rFonts w:hint="eastAsia" w:ascii="仿宋" w:hAnsi="仿宋" w:eastAsia="仿宋" w:cs="仿宋"/>
          <w:color w:val="000000"/>
          <w:sz w:val="32"/>
          <w:szCs w:val="24"/>
          <w:highlight w:val="none"/>
          <w:lang w:val="en-US" w:eastAsia="zh-CN"/>
        </w:rPr>
        <w:t>2023</w:t>
      </w:r>
      <w:r>
        <w:rPr>
          <w:rFonts w:hint="eastAsia" w:ascii="仿宋" w:hAnsi="仿宋" w:eastAsia="仿宋" w:cs="仿宋"/>
          <w:color w:val="000000"/>
          <w:sz w:val="32"/>
          <w:szCs w:val="24"/>
          <w:highlight w:val="none"/>
          <w:lang w:val="en-US"/>
        </w:rPr>
        <w:t>年度“三公”经费财政拨款支出全年预算为</w:t>
      </w:r>
      <w:r>
        <w:rPr>
          <w:rFonts w:hint="eastAsia" w:ascii="仿宋" w:hAnsi="仿宋" w:eastAsia="仿宋" w:cs="仿宋"/>
          <w:color w:val="000000"/>
          <w:sz w:val="32"/>
          <w:szCs w:val="24"/>
          <w:highlight w:val="none"/>
          <w:lang w:val="en-US" w:eastAsia="zh-CN"/>
        </w:rPr>
        <w:t>23.50</w:t>
      </w:r>
      <w:r>
        <w:rPr>
          <w:rFonts w:hint="eastAsia" w:ascii="仿宋" w:hAnsi="仿宋" w:eastAsia="仿宋" w:cs="仿宋"/>
          <w:color w:val="000000"/>
          <w:sz w:val="32"/>
          <w:szCs w:val="24"/>
          <w:highlight w:val="none"/>
          <w:lang w:val="en-US"/>
        </w:rPr>
        <w:t>万元，支出决算为</w:t>
      </w:r>
      <w:r>
        <w:rPr>
          <w:rFonts w:hint="eastAsia" w:ascii="仿宋" w:hAnsi="仿宋" w:eastAsia="仿宋" w:cs="仿宋"/>
          <w:color w:val="000000"/>
          <w:sz w:val="32"/>
          <w:szCs w:val="24"/>
          <w:highlight w:val="none"/>
          <w:lang w:val="en-US" w:eastAsia="zh-CN"/>
        </w:rPr>
        <w:t>23.50</w:t>
      </w:r>
      <w:r>
        <w:rPr>
          <w:rFonts w:hint="eastAsia" w:ascii="仿宋" w:hAnsi="仿宋" w:eastAsia="仿宋" w:cs="仿宋"/>
          <w:color w:val="000000"/>
          <w:sz w:val="32"/>
          <w:szCs w:val="24"/>
          <w:highlight w:val="none"/>
          <w:lang w:val="en-US"/>
        </w:rPr>
        <w:t>万元，完成全年预算的</w:t>
      </w:r>
      <w:r>
        <w:rPr>
          <w:rFonts w:hint="eastAsia" w:ascii="仿宋" w:hAnsi="仿宋" w:eastAsia="仿宋" w:cs="仿宋"/>
          <w:color w:val="000000"/>
          <w:sz w:val="32"/>
          <w:szCs w:val="24"/>
          <w:highlight w:val="none"/>
          <w:lang w:val="en-US" w:eastAsia="zh-CN"/>
        </w:rPr>
        <w:t>100.00</w:t>
      </w:r>
      <w:r>
        <w:rPr>
          <w:rFonts w:hint="eastAsia" w:ascii="仿宋" w:hAnsi="仿宋" w:eastAsia="仿宋" w:cs="仿宋"/>
          <w:color w:val="000000"/>
          <w:sz w:val="32"/>
          <w:szCs w:val="24"/>
          <w:highlight w:val="none"/>
          <w:lang w:val="en-US"/>
        </w:rPr>
        <w:t>%,</w:t>
      </w:r>
      <w:r>
        <w:rPr>
          <w:rFonts w:hint="eastAsia" w:ascii="仿宋" w:hAnsi="仿宋" w:eastAsia="仿宋" w:cs="仿宋"/>
          <w:color w:val="000000"/>
          <w:sz w:val="32"/>
          <w:szCs w:val="24"/>
          <w:highlight w:val="none"/>
          <w:lang w:val="en-US" w:eastAsia="zh-CN"/>
        </w:rPr>
        <w:t>2023</w:t>
      </w:r>
      <w:r>
        <w:rPr>
          <w:rFonts w:hint="eastAsia" w:ascii="仿宋" w:hAnsi="仿宋" w:eastAsia="仿宋" w:cs="仿宋"/>
          <w:color w:val="000000"/>
          <w:sz w:val="32"/>
          <w:szCs w:val="24"/>
          <w:highlight w:val="none"/>
          <w:lang w:val="en-US"/>
        </w:rPr>
        <w:t>年度“三公”经费支出决算数</w:t>
      </w:r>
      <w:r>
        <w:rPr>
          <w:rFonts w:hint="eastAsia" w:ascii="仿宋" w:hAnsi="仿宋" w:eastAsia="仿宋" w:cs="仿宋"/>
          <w:color w:val="auto"/>
          <w:sz w:val="32"/>
          <w:szCs w:val="32"/>
          <w:highlight w:val="none"/>
        </w:rPr>
        <w:t>等于</w:t>
      </w:r>
      <w:r>
        <w:rPr>
          <w:rFonts w:hint="eastAsia" w:ascii="仿宋" w:hAnsi="仿宋" w:eastAsia="仿宋" w:cs="仿宋"/>
          <w:color w:val="000000"/>
          <w:sz w:val="32"/>
          <w:szCs w:val="24"/>
          <w:highlight w:val="none"/>
          <w:lang w:val="en-US"/>
        </w:rPr>
        <w:t>全年预算数的主要原因是</w:t>
      </w:r>
      <w:r>
        <w:rPr>
          <w:rFonts w:hint="eastAsia" w:ascii="仿宋" w:hAnsi="仿宋" w:eastAsia="仿宋" w:cs="仿宋"/>
          <w:kern w:val="0"/>
          <w:sz w:val="32"/>
          <w:szCs w:val="32"/>
          <w:lang w:val="en-US" w:eastAsia="zh-CN"/>
        </w:rPr>
        <w:t>贯彻落实政策，控制相关费用的支出。</w:t>
      </w:r>
    </w:p>
    <w:p>
      <w:pPr>
        <w:spacing w:beforeLines="0" w:afterLines="0" w:line="600" w:lineRule="exact"/>
        <w:ind w:firstLine="594"/>
        <w:outlineLvl w:val="9"/>
        <w:rPr>
          <w:rFonts w:hint="eastAsia" w:ascii="仿宋" w:hAnsi="仿宋" w:eastAsia="仿宋" w:cs="仿宋"/>
          <w:b/>
          <w:color w:val="000000"/>
          <w:sz w:val="32"/>
          <w:szCs w:val="24"/>
          <w:highlight w:val="none"/>
          <w:lang w:val="en-US"/>
        </w:rPr>
      </w:pPr>
      <w:bookmarkStart w:id="44" w:name="_Toc29857"/>
      <w:r>
        <w:rPr>
          <w:rFonts w:hint="eastAsia" w:ascii="仿宋" w:hAnsi="仿宋" w:eastAsia="仿宋" w:cs="仿宋"/>
          <w:b/>
          <w:color w:val="000000"/>
          <w:sz w:val="32"/>
          <w:szCs w:val="24"/>
          <w:highlight w:val="none"/>
          <w:lang w:val="en-US"/>
        </w:rPr>
        <w:t>2.“三公”经费财政拨款支出决算具体情况说明</w:t>
      </w:r>
      <w:bookmarkEnd w:id="44"/>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eastAsia="zh-CN"/>
        </w:rPr>
        <w:t>2023</w:t>
      </w:r>
      <w:r>
        <w:rPr>
          <w:rFonts w:hint="eastAsia" w:ascii="仿宋" w:hAnsi="仿宋" w:eastAsia="仿宋" w:cs="仿宋"/>
          <w:color w:val="000000"/>
          <w:sz w:val="32"/>
          <w:szCs w:val="24"/>
          <w:highlight w:val="none"/>
          <w:lang w:val="en-US"/>
        </w:rPr>
        <w:t>年度“三公”经费财政拨款支出决算中，因公出国（境）费用支出决算为</w:t>
      </w:r>
      <w:r>
        <w:rPr>
          <w:rFonts w:hint="eastAsia" w:ascii="仿宋" w:hAnsi="仿宋" w:eastAsia="仿宋" w:cs="仿宋"/>
          <w:color w:val="000000"/>
          <w:sz w:val="32"/>
          <w:szCs w:val="24"/>
          <w:highlight w:val="none"/>
          <w:lang w:val="en-US" w:eastAsia="zh-CN"/>
        </w:rPr>
        <w:t>0.00</w:t>
      </w:r>
      <w:r>
        <w:rPr>
          <w:rFonts w:hint="eastAsia" w:ascii="仿宋" w:hAnsi="仿宋" w:eastAsia="仿宋" w:cs="仿宋"/>
          <w:color w:val="000000"/>
          <w:sz w:val="32"/>
          <w:szCs w:val="24"/>
          <w:highlight w:val="none"/>
          <w:lang w:val="en-US"/>
        </w:rPr>
        <w:t>万元，占</w:t>
      </w:r>
      <w:r>
        <w:rPr>
          <w:rFonts w:hint="eastAsia" w:ascii="仿宋" w:hAnsi="仿宋" w:eastAsia="仿宋" w:cs="仿宋"/>
          <w:color w:val="000000"/>
          <w:sz w:val="32"/>
          <w:szCs w:val="24"/>
          <w:highlight w:val="none"/>
          <w:lang w:val="en-US" w:eastAsia="zh-CN"/>
        </w:rPr>
        <w:t>0.00</w:t>
      </w:r>
      <w:r>
        <w:rPr>
          <w:rFonts w:hint="eastAsia" w:ascii="仿宋" w:hAnsi="仿宋" w:eastAsia="仿宋" w:cs="仿宋"/>
          <w:color w:val="000000"/>
          <w:sz w:val="32"/>
          <w:szCs w:val="24"/>
          <w:highlight w:val="none"/>
          <w:lang w:val="en-US"/>
        </w:rPr>
        <w:t>%，与</w:t>
      </w:r>
      <w:r>
        <w:rPr>
          <w:rFonts w:hint="eastAsia" w:ascii="仿宋" w:hAnsi="仿宋" w:eastAsia="仿宋" w:cs="仿宋"/>
          <w:color w:val="000000"/>
          <w:sz w:val="32"/>
          <w:szCs w:val="24"/>
          <w:highlight w:val="none"/>
          <w:lang w:val="en-US" w:eastAsia="zh-CN"/>
        </w:rPr>
        <w:t>2022</w:t>
      </w:r>
      <w:r>
        <w:rPr>
          <w:rFonts w:hint="eastAsia" w:ascii="仿宋" w:hAnsi="仿宋" w:eastAsia="仿宋" w:cs="仿宋"/>
          <w:color w:val="000000"/>
          <w:sz w:val="32"/>
          <w:szCs w:val="24"/>
          <w:highlight w:val="none"/>
          <w:lang w:val="en-US"/>
        </w:rPr>
        <w:t>年度相比，</w:t>
      </w:r>
      <w:r>
        <w:rPr>
          <w:rFonts w:hint="eastAsia" w:ascii="仿宋" w:hAnsi="仿宋" w:eastAsia="仿宋" w:cs="仿宋"/>
          <w:color w:val="auto"/>
          <w:sz w:val="32"/>
          <w:szCs w:val="32"/>
          <w:highlight w:val="none"/>
        </w:rPr>
        <w:t>增加0.00万元</w:t>
      </w:r>
      <w:r>
        <w:rPr>
          <w:rFonts w:hint="eastAsia" w:ascii="仿宋" w:hAnsi="仿宋" w:eastAsia="仿宋" w:cs="仿宋"/>
          <w:color w:val="000000"/>
          <w:sz w:val="32"/>
          <w:szCs w:val="24"/>
          <w:highlight w:val="none"/>
          <w:lang w:val="en-US"/>
        </w:rPr>
        <w:t>，主要原因是</w:t>
      </w:r>
      <w:r>
        <w:rPr>
          <w:rFonts w:hint="eastAsia" w:ascii="仿宋" w:hAnsi="仿宋" w:eastAsia="仿宋" w:cs="仿宋"/>
          <w:kern w:val="0"/>
          <w:sz w:val="32"/>
          <w:szCs w:val="32"/>
          <w:lang w:val="en-US" w:eastAsia="zh-CN"/>
        </w:rPr>
        <w:t>本部门2023年度无出国人员</w:t>
      </w:r>
      <w:r>
        <w:rPr>
          <w:rFonts w:hint="eastAsia" w:ascii="仿宋" w:hAnsi="仿宋" w:eastAsia="仿宋" w:cs="仿宋"/>
          <w:color w:val="000000"/>
          <w:sz w:val="32"/>
          <w:szCs w:val="24"/>
          <w:highlight w:val="none"/>
          <w:lang w:val="en-US"/>
        </w:rPr>
        <w:t>；公务用车购置及运行维护费支出决算为</w:t>
      </w:r>
      <w:r>
        <w:rPr>
          <w:rFonts w:hint="eastAsia" w:ascii="仿宋" w:hAnsi="仿宋" w:eastAsia="仿宋" w:cs="仿宋"/>
          <w:color w:val="000000"/>
          <w:sz w:val="32"/>
          <w:szCs w:val="24"/>
          <w:highlight w:val="none"/>
          <w:lang w:val="en-US" w:eastAsia="zh-CN"/>
        </w:rPr>
        <w:t>18.80</w:t>
      </w:r>
      <w:r>
        <w:rPr>
          <w:rFonts w:hint="eastAsia" w:ascii="仿宋" w:hAnsi="仿宋" w:eastAsia="仿宋" w:cs="仿宋"/>
          <w:color w:val="000000"/>
          <w:sz w:val="32"/>
          <w:szCs w:val="24"/>
          <w:highlight w:val="none"/>
          <w:lang w:val="en-US"/>
        </w:rPr>
        <w:t>万元，占</w:t>
      </w:r>
      <w:r>
        <w:rPr>
          <w:rFonts w:hint="eastAsia" w:ascii="仿宋" w:hAnsi="仿宋" w:eastAsia="仿宋" w:cs="仿宋"/>
          <w:color w:val="000000"/>
          <w:sz w:val="32"/>
          <w:szCs w:val="24"/>
          <w:highlight w:val="none"/>
          <w:lang w:val="en-US" w:eastAsia="zh-CN"/>
        </w:rPr>
        <w:t>79.99</w:t>
      </w:r>
      <w:r>
        <w:rPr>
          <w:rFonts w:hint="eastAsia" w:ascii="仿宋" w:hAnsi="仿宋" w:eastAsia="仿宋" w:cs="仿宋"/>
          <w:color w:val="000000"/>
          <w:sz w:val="32"/>
          <w:szCs w:val="24"/>
          <w:highlight w:val="none"/>
          <w:lang w:val="en-US"/>
        </w:rPr>
        <w:t>%，与</w:t>
      </w:r>
      <w:r>
        <w:rPr>
          <w:rFonts w:hint="eastAsia" w:ascii="仿宋" w:hAnsi="仿宋" w:eastAsia="仿宋" w:cs="仿宋"/>
          <w:color w:val="000000"/>
          <w:sz w:val="32"/>
          <w:szCs w:val="24"/>
          <w:highlight w:val="none"/>
          <w:lang w:val="en-US" w:eastAsia="zh-CN"/>
        </w:rPr>
        <w:t>2022</w:t>
      </w:r>
      <w:r>
        <w:rPr>
          <w:rFonts w:hint="eastAsia" w:ascii="仿宋" w:hAnsi="仿宋" w:eastAsia="仿宋" w:cs="仿宋"/>
          <w:color w:val="000000"/>
          <w:sz w:val="32"/>
          <w:szCs w:val="24"/>
          <w:highlight w:val="none"/>
          <w:lang w:val="en-US"/>
        </w:rPr>
        <w:t>年度相比，</w:t>
      </w:r>
      <w:r>
        <w:rPr>
          <w:rFonts w:hint="eastAsia" w:ascii="仿宋" w:hAnsi="仿宋" w:eastAsia="仿宋" w:cs="仿宋"/>
          <w:color w:val="auto"/>
          <w:sz w:val="32"/>
          <w:szCs w:val="32"/>
          <w:highlight w:val="none"/>
        </w:rPr>
        <w:t>减少42.92万元，下降69.54%</w:t>
      </w:r>
      <w:r>
        <w:rPr>
          <w:rFonts w:hint="eastAsia" w:ascii="仿宋" w:hAnsi="仿宋" w:eastAsia="仿宋" w:cs="仿宋"/>
          <w:color w:val="000000"/>
          <w:sz w:val="32"/>
          <w:szCs w:val="24"/>
          <w:highlight w:val="none"/>
          <w:lang w:val="en-US"/>
        </w:rPr>
        <w:t>，主要原因是</w:t>
      </w:r>
      <w:r>
        <w:rPr>
          <w:rFonts w:hint="eastAsia" w:ascii="仿宋" w:hAnsi="仿宋" w:eastAsia="仿宋" w:cs="仿宋"/>
          <w:kern w:val="0"/>
          <w:sz w:val="32"/>
          <w:szCs w:val="32"/>
          <w:lang w:val="en-US" w:eastAsia="zh-CN"/>
        </w:rPr>
        <w:t>2023年无公务用车购置费用</w:t>
      </w:r>
      <w:r>
        <w:rPr>
          <w:rFonts w:hint="eastAsia" w:ascii="仿宋" w:hAnsi="仿宋" w:eastAsia="仿宋" w:cs="仿宋"/>
          <w:kern w:val="0"/>
          <w:sz w:val="32"/>
          <w:szCs w:val="32"/>
          <w:highlight w:val="none"/>
          <w:lang w:val="en-US" w:eastAsia="zh-CN"/>
        </w:rPr>
        <w:t xml:space="preserve"> </w:t>
      </w:r>
      <w:r>
        <w:rPr>
          <w:rFonts w:hint="eastAsia" w:ascii="仿宋" w:hAnsi="仿宋" w:eastAsia="仿宋" w:cs="仿宋"/>
          <w:color w:val="000000"/>
          <w:sz w:val="32"/>
          <w:szCs w:val="24"/>
          <w:highlight w:val="none"/>
          <w:lang w:val="en-US"/>
        </w:rPr>
        <w:t>；公务接待费支出决算为</w:t>
      </w:r>
      <w:r>
        <w:rPr>
          <w:rFonts w:hint="eastAsia" w:ascii="仿宋" w:hAnsi="仿宋" w:eastAsia="仿宋" w:cs="仿宋"/>
          <w:color w:val="000000"/>
          <w:sz w:val="32"/>
          <w:szCs w:val="24"/>
          <w:highlight w:val="none"/>
          <w:lang w:val="en-US" w:eastAsia="zh-CN"/>
        </w:rPr>
        <w:t>4.70</w:t>
      </w:r>
      <w:r>
        <w:rPr>
          <w:rFonts w:hint="eastAsia" w:ascii="仿宋" w:hAnsi="仿宋" w:eastAsia="仿宋" w:cs="仿宋"/>
          <w:color w:val="000000"/>
          <w:sz w:val="32"/>
          <w:szCs w:val="24"/>
          <w:highlight w:val="none"/>
          <w:lang w:val="en-US"/>
        </w:rPr>
        <w:t>万元，占</w:t>
      </w:r>
      <w:r>
        <w:rPr>
          <w:rFonts w:hint="eastAsia" w:ascii="仿宋" w:hAnsi="仿宋" w:eastAsia="仿宋" w:cs="仿宋"/>
          <w:color w:val="000000"/>
          <w:sz w:val="32"/>
          <w:szCs w:val="24"/>
          <w:highlight w:val="none"/>
          <w:lang w:val="en-US" w:eastAsia="zh-CN"/>
        </w:rPr>
        <w:t>20.01</w:t>
      </w:r>
      <w:r>
        <w:rPr>
          <w:rFonts w:hint="eastAsia" w:ascii="仿宋" w:hAnsi="仿宋" w:eastAsia="仿宋" w:cs="仿宋"/>
          <w:color w:val="000000"/>
          <w:sz w:val="32"/>
          <w:szCs w:val="24"/>
          <w:highlight w:val="none"/>
          <w:lang w:val="en-US"/>
        </w:rPr>
        <w:t>%，与</w:t>
      </w:r>
      <w:r>
        <w:rPr>
          <w:rFonts w:hint="eastAsia" w:ascii="仿宋" w:hAnsi="仿宋" w:eastAsia="仿宋" w:cs="仿宋"/>
          <w:color w:val="000000"/>
          <w:sz w:val="32"/>
          <w:szCs w:val="24"/>
          <w:highlight w:val="none"/>
          <w:lang w:val="en-US" w:eastAsia="zh-CN"/>
        </w:rPr>
        <w:t>2022</w:t>
      </w:r>
      <w:r>
        <w:rPr>
          <w:rFonts w:hint="eastAsia" w:ascii="仿宋" w:hAnsi="仿宋" w:eastAsia="仿宋" w:cs="仿宋"/>
          <w:color w:val="000000"/>
          <w:sz w:val="32"/>
          <w:szCs w:val="24"/>
          <w:highlight w:val="none"/>
          <w:lang w:val="en-US"/>
        </w:rPr>
        <w:t>年度相比，</w:t>
      </w:r>
      <w:r>
        <w:rPr>
          <w:rFonts w:hint="eastAsia" w:ascii="仿宋" w:hAnsi="仿宋" w:eastAsia="仿宋" w:cs="仿宋"/>
          <w:color w:val="auto"/>
          <w:sz w:val="32"/>
          <w:szCs w:val="32"/>
          <w:highlight w:val="none"/>
        </w:rPr>
        <w:t>减少5.66万元，下降54.63%</w:t>
      </w:r>
      <w:r>
        <w:rPr>
          <w:rFonts w:hint="eastAsia" w:ascii="仿宋" w:hAnsi="仿宋" w:eastAsia="仿宋" w:cs="仿宋"/>
          <w:color w:val="000000"/>
          <w:sz w:val="32"/>
          <w:szCs w:val="24"/>
          <w:highlight w:val="none"/>
          <w:lang w:val="en-US"/>
        </w:rPr>
        <w:t>，主要原因</w:t>
      </w:r>
      <w:r>
        <w:rPr>
          <w:rFonts w:hint="eastAsia" w:ascii="仿宋" w:hAnsi="仿宋" w:eastAsia="仿宋" w:cs="仿宋"/>
          <w:color w:val="000000"/>
          <w:sz w:val="32"/>
          <w:szCs w:val="24"/>
          <w:highlight w:val="none"/>
          <w:lang w:val="en-US" w:eastAsia="zh-CN"/>
        </w:rPr>
        <w:t>是</w:t>
      </w:r>
      <w:r>
        <w:rPr>
          <w:rFonts w:hint="eastAsia" w:ascii="仿宋" w:hAnsi="仿宋" w:eastAsia="仿宋" w:cs="仿宋"/>
          <w:kern w:val="0"/>
          <w:sz w:val="32"/>
          <w:szCs w:val="32"/>
          <w:lang w:val="en-US" w:eastAsia="zh-CN"/>
        </w:rPr>
        <w:t>历行勤俭节约的政策</w:t>
      </w:r>
      <w:r>
        <w:rPr>
          <w:rFonts w:hint="eastAsia" w:ascii="仿宋" w:hAnsi="仿宋" w:eastAsia="仿宋" w:cs="仿宋"/>
          <w:color w:val="000000"/>
          <w:sz w:val="32"/>
          <w:szCs w:val="24"/>
          <w:highlight w:val="none"/>
          <w:lang w:val="en-US"/>
        </w:rPr>
        <w:t>。具体情况如下：</w:t>
      </w:r>
    </w:p>
    <w:p>
      <w:pPr>
        <w:spacing w:beforeLines="0" w:afterLines="0" w:line="600" w:lineRule="exact"/>
        <w:ind w:firstLine="641"/>
        <w:rPr>
          <w:rFonts w:hint="eastAsia" w:ascii="仿宋" w:hAnsi="仿宋" w:eastAsia="仿宋" w:cs="仿宋"/>
          <w:color w:val="000000"/>
          <w:sz w:val="32"/>
          <w:szCs w:val="24"/>
          <w:highlight w:val="none"/>
          <w:lang w:val="en-US"/>
        </w:rPr>
      </w:pPr>
      <w:r>
        <w:rPr>
          <w:rFonts w:hint="eastAsia" w:ascii="仿宋" w:hAnsi="仿宋" w:eastAsia="仿宋" w:cs="仿宋"/>
          <w:b/>
          <w:color w:val="000000"/>
          <w:sz w:val="32"/>
          <w:szCs w:val="24"/>
          <w:highlight w:val="none"/>
          <w:lang w:val="en-US"/>
        </w:rPr>
        <w:t>（1）因公出国（境）费用</w:t>
      </w:r>
      <w:r>
        <w:rPr>
          <w:rFonts w:hint="eastAsia" w:ascii="仿宋" w:hAnsi="仿宋" w:eastAsia="仿宋" w:cs="仿宋"/>
          <w:color w:val="000000"/>
          <w:sz w:val="32"/>
          <w:szCs w:val="24"/>
          <w:highlight w:val="none"/>
          <w:lang w:val="en-US"/>
        </w:rPr>
        <w:t>全年预算数为</w:t>
      </w:r>
      <w:r>
        <w:rPr>
          <w:rFonts w:hint="eastAsia" w:ascii="仿宋" w:hAnsi="仿宋" w:eastAsia="仿宋" w:cs="仿宋"/>
          <w:color w:val="auto"/>
          <w:sz w:val="30"/>
          <w:szCs w:val="24"/>
          <w:highlight w:val="none"/>
          <w:lang w:val="zh-CN"/>
        </w:rPr>
        <w:t>0.00</w:t>
      </w:r>
      <w:r>
        <w:rPr>
          <w:rFonts w:hint="eastAsia" w:ascii="仿宋" w:hAnsi="仿宋" w:eastAsia="仿宋" w:cs="仿宋"/>
          <w:color w:val="000000"/>
          <w:sz w:val="32"/>
          <w:szCs w:val="24"/>
          <w:highlight w:val="none"/>
          <w:lang w:val="en-US"/>
        </w:rPr>
        <w:t>万元，支出决算为</w:t>
      </w:r>
      <w:r>
        <w:rPr>
          <w:rFonts w:hint="eastAsia" w:ascii="仿宋" w:hAnsi="仿宋" w:eastAsia="仿宋" w:cs="仿宋"/>
          <w:color w:val="auto"/>
          <w:sz w:val="30"/>
          <w:szCs w:val="24"/>
          <w:highlight w:val="none"/>
          <w:lang w:val="zh-CN"/>
        </w:rPr>
        <w:t>0.00</w:t>
      </w:r>
      <w:r>
        <w:rPr>
          <w:rFonts w:hint="eastAsia" w:ascii="仿宋" w:hAnsi="仿宋" w:eastAsia="仿宋" w:cs="仿宋"/>
          <w:color w:val="000000"/>
          <w:sz w:val="32"/>
          <w:szCs w:val="24"/>
          <w:highlight w:val="none"/>
          <w:lang w:val="en-US"/>
        </w:rPr>
        <w:t>万元</w:t>
      </w:r>
      <w:r>
        <w:rPr>
          <w:rFonts w:hint="eastAsia" w:ascii="仿宋" w:hAnsi="仿宋" w:eastAsia="仿宋" w:cs="仿宋"/>
          <w:color w:val="000000"/>
          <w:sz w:val="32"/>
          <w:szCs w:val="24"/>
          <w:highlight w:val="none"/>
          <w:lang w:val="en-US" w:eastAsia="zh-CN"/>
        </w:rPr>
        <w:t>，</w:t>
      </w:r>
      <w:r>
        <w:rPr>
          <w:rFonts w:hint="eastAsia" w:ascii="仿宋" w:hAnsi="仿宋" w:eastAsia="仿宋" w:cs="仿宋"/>
          <w:color w:val="000000"/>
          <w:sz w:val="32"/>
          <w:szCs w:val="24"/>
          <w:highlight w:val="none"/>
          <w:lang w:val="en-US"/>
        </w:rPr>
        <w:t>决算数</w:t>
      </w:r>
      <w:r>
        <w:rPr>
          <w:rFonts w:hint="eastAsia" w:ascii="仿宋" w:hAnsi="仿宋" w:eastAsia="仿宋" w:cs="仿宋"/>
          <w:color w:val="auto"/>
          <w:sz w:val="32"/>
          <w:szCs w:val="32"/>
          <w:highlight w:val="none"/>
        </w:rPr>
        <w:t>等于</w:t>
      </w:r>
      <w:r>
        <w:rPr>
          <w:rFonts w:hint="eastAsia" w:ascii="仿宋" w:hAnsi="仿宋" w:eastAsia="仿宋" w:cs="仿宋"/>
          <w:color w:val="000000"/>
          <w:sz w:val="32"/>
          <w:szCs w:val="24"/>
          <w:highlight w:val="none"/>
          <w:lang w:val="en-US"/>
        </w:rPr>
        <w:t>全年预算数的主要原因是</w:t>
      </w:r>
      <w:r>
        <w:rPr>
          <w:rFonts w:hint="eastAsia" w:ascii="仿宋" w:hAnsi="仿宋" w:eastAsia="仿宋" w:cs="仿宋"/>
          <w:kern w:val="0"/>
          <w:sz w:val="32"/>
          <w:szCs w:val="32"/>
          <w:lang w:val="en-US" w:eastAsia="zh-CN"/>
        </w:rPr>
        <w:t>本部门无出国外出人员</w:t>
      </w:r>
      <w:r>
        <w:rPr>
          <w:rFonts w:hint="eastAsia" w:ascii="仿宋" w:hAnsi="仿宋" w:eastAsia="仿宋" w:cs="仿宋"/>
          <w:color w:val="000000"/>
          <w:sz w:val="32"/>
          <w:szCs w:val="24"/>
          <w:highlight w:val="none"/>
          <w:lang w:val="en-US"/>
        </w:rPr>
        <w:t>。全年使用财政拨款支出涉及因公出国(境)团组</w:t>
      </w:r>
      <w:r>
        <w:rPr>
          <w:rFonts w:hint="eastAsia" w:ascii="仿宋" w:hAnsi="仿宋" w:eastAsia="仿宋" w:cs="仿宋"/>
          <w:color w:val="000000"/>
          <w:sz w:val="32"/>
          <w:szCs w:val="24"/>
          <w:highlight w:val="none"/>
          <w:lang w:val="en-US" w:eastAsia="zh-CN"/>
        </w:rPr>
        <w:t>0.00</w:t>
      </w:r>
      <w:r>
        <w:rPr>
          <w:rFonts w:hint="eastAsia" w:ascii="仿宋" w:hAnsi="仿宋" w:eastAsia="仿宋" w:cs="仿宋"/>
          <w:color w:val="000000"/>
          <w:sz w:val="32"/>
          <w:szCs w:val="24"/>
          <w:highlight w:val="none"/>
          <w:lang w:val="en-US"/>
        </w:rPr>
        <w:t>个；累计</w:t>
      </w:r>
      <w:r>
        <w:rPr>
          <w:rFonts w:hint="eastAsia" w:ascii="仿宋" w:hAnsi="仿宋" w:eastAsia="仿宋" w:cs="仿宋"/>
          <w:color w:val="auto"/>
          <w:sz w:val="30"/>
          <w:szCs w:val="24"/>
          <w:highlight w:val="none"/>
          <w:lang w:val="zh-CN"/>
        </w:rPr>
        <w:t>0</w:t>
      </w:r>
      <w:r>
        <w:rPr>
          <w:rFonts w:hint="eastAsia" w:ascii="仿宋" w:hAnsi="仿宋" w:eastAsia="仿宋" w:cs="仿宋"/>
          <w:color w:val="000000"/>
          <w:sz w:val="32"/>
          <w:szCs w:val="24"/>
          <w:highlight w:val="none"/>
          <w:lang w:val="en-US"/>
        </w:rPr>
        <w:t>人次。</w:t>
      </w:r>
    </w:p>
    <w:p>
      <w:pPr>
        <w:spacing w:beforeLines="0" w:afterLines="0" w:line="600" w:lineRule="exact"/>
        <w:ind w:firstLine="641"/>
        <w:rPr>
          <w:rFonts w:hint="eastAsia" w:ascii="仿宋" w:hAnsi="仿宋" w:eastAsia="仿宋" w:cs="仿宋"/>
          <w:color w:val="000000"/>
          <w:sz w:val="32"/>
          <w:szCs w:val="24"/>
          <w:highlight w:val="none"/>
          <w:lang w:val="en-US"/>
        </w:rPr>
      </w:pPr>
      <w:r>
        <w:rPr>
          <w:rFonts w:hint="eastAsia" w:ascii="仿宋" w:hAnsi="仿宋" w:eastAsia="仿宋" w:cs="仿宋"/>
          <w:b/>
          <w:color w:val="000000"/>
          <w:sz w:val="32"/>
          <w:szCs w:val="24"/>
          <w:highlight w:val="none"/>
          <w:lang w:val="en-US"/>
        </w:rPr>
        <w:t>（2）公务用车购置及运行维护费</w:t>
      </w:r>
      <w:r>
        <w:rPr>
          <w:rFonts w:hint="eastAsia" w:ascii="仿宋" w:hAnsi="仿宋" w:eastAsia="仿宋" w:cs="仿宋"/>
          <w:color w:val="000000"/>
          <w:sz w:val="32"/>
          <w:szCs w:val="24"/>
          <w:highlight w:val="none"/>
          <w:lang w:val="en-US"/>
        </w:rPr>
        <w:t>全年预算数为</w:t>
      </w:r>
      <w:r>
        <w:rPr>
          <w:rFonts w:hint="eastAsia" w:ascii="仿宋" w:hAnsi="仿宋" w:eastAsia="仿宋" w:cs="仿宋"/>
          <w:color w:val="000000"/>
          <w:sz w:val="32"/>
          <w:szCs w:val="24"/>
          <w:highlight w:val="none"/>
          <w:lang w:val="en-US" w:eastAsia="zh-CN"/>
        </w:rPr>
        <w:t>18.80</w:t>
      </w:r>
      <w:r>
        <w:rPr>
          <w:rFonts w:hint="eastAsia" w:ascii="仿宋" w:hAnsi="仿宋" w:eastAsia="仿宋" w:cs="仿宋"/>
          <w:color w:val="000000"/>
          <w:sz w:val="32"/>
          <w:szCs w:val="24"/>
          <w:highlight w:val="none"/>
          <w:lang w:val="en-US"/>
        </w:rPr>
        <w:t>万元，支出决算为</w:t>
      </w:r>
      <w:r>
        <w:rPr>
          <w:rFonts w:hint="eastAsia" w:ascii="仿宋" w:hAnsi="仿宋" w:eastAsia="仿宋" w:cs="仿宋"/>
          <w:color w:val="000000"/>
          <w:sz w:val="32"/>
          <w:szCs w:val="24"/>
          <w:highlight w:val="none"/>
          <w:lang w:val="en-US" w:eastAsia="zh-CN"/>
        </w:rPr>
        <w:t>18.80</w:t>
      </w:r>
      <w:r>
        <w:rPr>
          <w:rFonts w:hint="eastAsia" w:ascii="仿宋" w:hAnsi="仿宋" w:eastAsia="仿宋" w:cs="仿宋"/>
          <w:color w:val="000000"/>
          <w:sz w:val="32"/>
          <w:szCs w:val="24"/>
          <w:highlight w:val="none"/>
          <w:lang w:val="en-US"/>
        </w:rPr>
        <w:t>万元</w:t>
      </w:r>
      <w:r>
        <w:rPr>
          <w:rFonts w:hint="eastAsia" w:ascii="仿宋" w:hAnsi="仿宋" w:eastAsia="仿宋" w:cs="仿宋"/>
          <w:sz w:val="32"/>
          <w:szCs w:val="40"/>
          <w:lang w:val="en-US" w:eastAsia="zh-CN"/>
        </w:rPr>
        <w:t>，完成全年预算的100.00%</w:t>
      </w:r>
      <w:r>
        <w:rPr>
          <w:rFonts w:hint="eastAsia" w:ascii="仿宋" w:hAnsi="仿宋" w:eastAsia="仿宋" w:cs="仿宋"/>
          <w:color w:val="000000"/>
          <w:sz w:val="32"/>
          <w:szCs w:val="24"/>
          <w:highlight w:val="none"/>
          <w:lang w:val="en-US"/>
        </w:rPr>
        <w:t>。决算数</w:t>
      </w:r>
      <w:r>
        <w:rPr>
          <w:rFonts w:hint="eastAsia" w:ascii="仿宋" w:hAnsi="仿宋" w:eastAsia="仿宋" w:cs="仿宋"/>
          <w:color w:val="auto"/>
          <w:sz w:val="32"/>
          <w:szCs w:val="32"/>
          <w:highlight w:val="none"/>
        </w:rPr>
        <w:t>等于</w:t>
      </w:r>
      <w:r>
        <w:rPr>
          <w:rFonts w:hint="eastAsia" w:ascii="仿宋" w:hAnsi="仿宋" w:eastAsia="仿宋" w:cs="仿宋"/>
          <w:color w:val="000000"/>
          <w:sz w:val="32"/>
          <w:szCs w:val="24"/>
          <w:highlight w:val="none"/>
          <w:lang w:val="en-US"/>
        </w:rPr>
        <w:t>全年预算数的主要原因是</w:t>
      </w:r>
      <w:r>
        <w:rPr>
          <w:rFonts w:hint="eastAsia" w:ascii="仿宋" w:hAnsi="仿宋" w:eastAsia="仿宋" w:cs="仿宋"/>
          <w:kern w:val="0"/>
          <w:sz w:val="32"/>
          <w:szCs w:val="32"/>
          <w:lang w:val="en-US" w:eastAsia="zh-CN"/>
        </w:rPr>
        <w:t>贯彻落实政策，控制相关费用的支出。</w:t>
      </w:r>
    </w:p>
    <w:p>
      <w:pPr>
        <w:keepNext w:val="0"/>
        <w:keepLines w:val="0"/>
        <w:widowControl w:val="0"/>
        <w:suppressLineNumbers w:val="0"/>
        <w:spacing w:before="0" w:beforeAutospacing="0" w:after="0" w:afterAutospacing="0"/>
        <w:ind w:left="0" w:right="0" w:firstLine="420" w:firstLineChars="0"/>
        <w:jc w:val="both"/>
        <w:rPr>
          <w:rFonts w:hint="eastAsia" w:ascii="仿宋" w:hAnsi="仿宋" w:eastAsia="仿宋" w:cs="仿宋"/>
          <w:color w:val="000000"/>
          <w:sz w:val="32"/>
          <w:szCs w:val="24"/>
          <w:highlight w:val="none"/>
          <w:lang w:val="en-US"/>
        </w:rPr>
      </w:pPr>
      <w:r>
        <w:rPr>
          <w:rFonts w:hint="eastAsia" w:ascii="仿宋" w:hAnsi="仿宋" w:eastAsia="仿宋" w:cs="仿宋"/>
          <w:b/>
          <w:color w:val="000000"/>
          <w:sz w:val="32"/>
          <w:szCs w:val="24"/>
          <w:highlight w:val="none"/>
          <w:lang w:val="en-US"/>
        </w:rPr>
        <w:t>公务用车购置</w:t>
      </w:r>
      <w:r>
        <w:rPr>
          <w:rFonts w:hint="eastAsia" w:ascii="仿宋" w:hAnsi="仿宋" w:eastAsia="仿宋" w:cs="仿宋"/>
          <w:color w:val="000000"/>
          <w:sz w:val="32"/>
          <w:szCs w:val="24"/>
          <w:highlight w:val="none"/>
          <w:lang w:val="en-US"/>
        </w:rPr>
        <w:t>全年预算数为</w:t>
      </w:r>
      <w:r>
        <w:rPr>
          <w:rFonts w:hint="eastAsia" w:ascii="仿宋" w:hAnsi="仿宋" w:eastAsia="仿宋" w:cs="仿宋"/>
          <w:color w:val="auto"/>
          <w:sz w:val="30"/>
          <w:szCs w:val="24"/>
          <w:highlight w:val="none"/>
          <w:lang w:val="zh-CN"/>
        </w:rPr>
        <w:t>0.00</w:t>
      </w:r>
      <w:r>
        <w:rPr>
          <w:rFonts w:hint="eastAsia" w:ascii="仿宋" w:hAnsi="仿宋" w:eastAsia="仿宋" w:cs="仿宋"/>
          <w:color w:val="000000"/>
          <w:sz w:val="32"/>
          <w:szCs w:val="24"/>
          <w:highlight w:val="none"/>
          <w:lang w:val="en-US"/>
        </w:rPr>
        <w:t>万元，支出决算为</w:t>
      </w:r>
      <w:r>
        <w:rPr>
          <w:rFonts w:hint="eastAsia" w:ascii="仿宋" w:hAnsi="仿宋" w:eastAsia="仿宋" w:cs="仿宋"/>
          <w:color w:val="auto"/>
          <w:sz w:val="30"/>
          <w:szCs w:val="24"/>
          <w:highlight w:val="none"/>
          <w:lang w:val="zh-CN"/>
        </w:rPr>
        <w:t>0.00</w:t>
      </w:r>
      <w:r>
        <w:rPr>
          <w:rFonts w:hint="eastAsia" w:ascii="仿宋" w:hAnsi="仿宋" w:eastAsia="仿宋" w:cs="仿宋"/>
          <w:color w:val="000000"/>
          <w:sz w:val="32"/>
          <w:szCs w:val="24"/>
          <w:highlight w:val="none"/>
          <w:lang w:val="en-US"/>
        </w:rPr>
        <w:t>万元（含购置税等附加费用）。决算数</w:t>
      </w:r>
      <w:r>
        <w:rPr>
          <w:rFonts w:hint="eastAsia" w:ascii="仿宋" w:hAnsi="仿宋" w:eastAsia="仿宋" w:cs="仿宋"/>
          <w:color w:val="auto"/>
          <w:sz w:val="32"/>
          <w:szCs w:val="32"/>
          <w:highlight w:val="none"/>
        </w:rPr>
        <w:t>等于</w:t>
      </w:r>
      <w:r>
        <w:rPr>
          <w:rFonts w:hint="eastAsia" w:ascii="仿宋" w:hAnsi="仿宋" w:eastAsia="仿宋" w:cs="仿宋"/>
          <w:color w:val="000000"/>
          <w:sz w:val="32"/>
          <w:szCs w:val="24"/>
          <w:highlight w:val="none"/>
          <w:lang w:val="en-US"/>
        </w:rPr>
        <w:t>全年预算数的主要原因是</w:t>
      </w:r>
      <w:r>
        <w:rPr>
          <w:rFonts w:hint="eastAsia" w:ascii="仿宋" w:hAnsi="仿宋" w:eastAsia="仿宋" w:cs="仿宋"/>
          <w:kern w:val="0"/>
          <w:sz w:val="32"/>
          <w:szCs w:val="32"/>
          <w:lang w:val="en-US" w:eastAsia="zh-CN"/>
        </w:rPr>
        <w:t>贯彻落实政策，控制相关费用的支出</w:t>
      </w:r>
      <w:r>
        <w:rPr>
          <w:rFonts w:hint="eastAsia" w:ascii="仿宋" w:hAnsi="仿宋" w:eastAsia="仿宋" w:cs="仿宋"/>
          <w:color w:val="000000"/>
          <w:sz w:val="32"/>
          <w:szCs w:val="24"/>
          <w:highlight w:val="none"/>
          <w:lang w:val="en-US"/>
        </w:rPr>
        <w:t>。主要用于经批准购置的</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辆公务用车；</w:t>
      </w:r>
    </w:p>
    <w:p>
      <w:pPr>
        <w:spacing w:beforeLines="0" w:afterLines="0" w:line="600" w:lineRule="exact"/>
        <w:ind w:firstLine="641"/>
        <w:rPr>
          <w:rFonts w:hint="eastAsia" w:ascii="仿宋" w:hAnsi="仿宋" w:eastAsia="仿宋" w:cs="仿宋"/>
          <w:color w:val="000000"/>
          <w:sz w:val="32"/>
          <w:szCs w:val="24"/>
          <w:highlight w:val="none"/>
          <w:lang w:val="en-US"/>
        </w:rPr>
      </w:pPr>
      <w:r>
        <w:rPr>
          <w:rFonts w:hint="eastAsia" w:ascii="仿宋" w:hAnsi="仿宋" w:eastAsia="仿宋" w:cs="仿宋"/>
          <w:b/>
          <w:color w:val="000000"/>
          <w:sz w:val="32"/>
          <w:szCs w:val="24"/>
          <w:highlight w:val="none"/>
          <w:lang w:val="en-US"/>
        </w:rPr>
        <w:t>公务用车运行维护费</w:t>
      </w:r>
      <w:r>
        <w:rPr>
          <w:rFonts w:hint="eastAsia" w:ascii="仿宋" w:hAnsi="仿宋" w:eastAsia="仿宋" w:cs="仿宋"/>
          <w:color w:val="000000"/>
          <w:sz w:val="32"/>
          <w:szCs w:val="24"/>
          <w:highlight w:val="none"/>
          <w:lang w:val="en-US"/>
        </w:rPr>
        <w:t>全年预算数为</w:t>
      </w:r>
      <w:r>
        <w:rPr>
          <w:rFonts w:hint="eastAsia" w:ascii="仿宋" w:hAnsi="仿宋" w:eastAsia="仿宋" w:cs="仿宋"/>
          <w:color w:val="auto"/>
          <w:sz w:val="30"/>
          <w:szCs w:val="24"/>
          <w:highlight w:val="none"/>
          <w:lang w:val="zh-CN"/>
        </w:rPr>
        <w:t>18.80</w:t>
      </w:r>
      <w:r>
        <w:rPr>
          <w:rFonts w:hint="eastAsia" w:ascii="仿宋" w:hAnsi="仿宋" w:eastAsia="仿宋" w:cs="仿宋"/>
          <w:color w:val="000000"/>
          <w:sz w:val="32"/>
          <w:szCs w:val="24"/>
          <w:highlight w:val="none"/>
          <w:lang w:val="en-US"/>
        </w:rPr>
        <w:t>万元，支出决算为</w:t>
      </w:r>
      <w:r>
        <w:rPr>
          <w:rFonts w:hint="eastAsia" w:ascii="仿宋" w:hAnsi="仿宋" w:eastAsia="仿宋" w:cs="仿宋"/>
          <w:color w:val="auto"/>
          <w:sz w:val="30"/>
          <w:szCs w:val="24"/>
          <w:highlight w:val="none"/>
          <w:lang w:val="zh-CN"/>
        </w:rPr>
        <w:t>18.80</w:t>
      </w:r>
      <w:r>
        <w:rPr>
          <w:rFonts w:hint="eastAsia" w:ascii="仿宋" w:hAnsi="仿宋" w:eastAsia="仿宋" w:cs="仿宋"/>
          <w:color w:val="000000"/>
          <w:sz w:val="32"/>
          <w:szCs w:val="24"/>
          <w:highlight w:val="none"/>
          <w:lang w:val="en-US"/>
        </w:rPr>
        <w:t>万元</w:t>
      </w:r>
      <w:r>
        <w:rPr>
          <w:rFonts w:hint="eastAsia" w:ascii="仿宋" w:hAnsi="仿宋" w:eastAsia="仿宋" w:cs="仿宋"/>
          <w:sz w:val="32"/>
          <w:szCs w:val="40"/>
          <w:lang w:val="en-US" w:eastAsia="zh-CN"/>
        </w:rPr>
        <w:t>，完成全年预算的100.00%</w:t>
      </w:r>
      <w:r>
        <w:rPr>
          <w:rFonts w:hint="eastAsia" w:ascii="仿宋" w:hAnsi="仿宋" w:eastAsia="仿宋" w:cs="仿宋"/>
          <w:color w:val="000000"/>
          <w:sz w:val="32"/>
          <w:szCs w:val="24"/>
          <w:highlight w:val="none"/>
          <w:lang w:val="en-US"/>
        </w:rPr>
        <w:t>。决算数</w:t>
      </w:r>
      <w:r>
        <w:rPr>
          <w:rFonts w:hint="eastAsia" w:ascii="仿宋" w:hAnsi="仿宋" w:eastAsia="仿宋" w:cs="仿宋"/>
          <w:color w:val="auto"/>
          <w:sz w:val="32"/>
          <w:szCs w:val="32"/>
          <w:highlight w:val="none"/>
        </w:rPr>
        <w:t>等于</w:t>
      </w:r>
      <w:r>
        <w:rPr>
          <w:rFonts w:hint="eastAsia" w:ascii="仿宋" w:hAnsi="仿宋" w:eastAsia="仿宋" w:cs="仿宋"/>
          <w:color w:val="000000"/>
          <w:sz w:val="32"/>
          <w:szCs w:val="24"/>
          <w:highlight w:val="none"/>
          <w:lang w:val="en-US"/>
        </w:rPr>
        <w:t>全年预算数的主要原因是</w:t>
      </w:r>
      <w:r>
        <w:rPr>
          <w:rFonts w:hint="eastAsia" w:ascii="仿宋" w:hAnsi="仿宋" w:eastAsia="仿宋" w:cs="仿宋"/>
          <w:kern w:val="0"/>
          <w:sz w:val="32"/>
          <w:szCs w:val="32"/>
          <w:lang w:val="en-US" w:eastAsia="zh-CN"/>
        </w:rPr>
        <w:t>贯彻落实政策，控制相关费用的支出</w:t>
      </w:r>
      <w:r>
        <w:rPr>
          <w:rFonts w:hint="eastAsia" w:ascii="仿宋" w:hAnsi="仿宋" w:eastAsia="仿宋" w:cs="仿宋"/>
          <w:sz w:val="32"/>
          <w:szCs w:val="40"/>
          <w:lang w:val="en-US" w:eastAsia="zh-CN"/>
        </w:rPr>
        <w:t>，主要用于本部门公务用车在办案过程中所需的燃料费、维修费、过路过桥费、保险费等支出</w:t>
      </w:r>
      <w:r>
        <w:rPr>
          <w:rFonts w:hint="eastAsia" w:ascii="仿宋" w:hAnsi="仿宋" w:eastAsia="仿宋" w:cs="仿宋"/>
          <w:kern w:val="2"/>
          <w:sz w:val="32"/>
          <w:szCs w:val="32"/>
          <w:highlight w:val="none"/>
          <w:lang w:val="en-US" w:eastAsia="zh-CN"/>
        </w:rPr>
        <w:t>。</w:t>
      </w:r>
      <w:r>
        <w:rPr>
          <w:rFonts w:hint="eastAsia" w:ascii="仿宋" w:hAnsi="仿宋" w:eastAsia="仿宋" w:cs="仿宋"/>
          <w:color w:val="000000"/>
          <w:sz w:val="32"/>
          <w:szCs w:val="24"/>
          <w:highlight w:val="none"/>
          <w:lang w:val="en-US"/>
        </w:rPr>
        <w:t>截至</w:t>
      </w:r>
      <w:r>
        <w:rPr>
          <w:rFonts w:hint="eastAsia" w:ascii="仿宋" w:hAnsi="仿宋" w:eastAsia="仿宋" w:cs="仿宋"/>
          <w:color w:val="000000"/>
          <w:sz w:val="32"/>
          <w:szCs w:val="24"/>
          <w:highlight w:val="none"/>
          <w:lang w:val="en-US" w:eastAsia="zh-CN"/>
        </w:rPr>
        <w:t>2023</w:t>
      </w:r>
      <w:r>
        <w:rPr>
          <w:rFonts w:hint="eastAsia" w:ascii="仿宋" w:hAnsi="仿宋" w:eastAsia="仿宋" w:cs="仿宋"/>
          <w:color w:val="000000"/>
          <w:sz w:val="32"/>
          <w:szCs w:val="24"/>
          <w:highlight w:val="none"/>
          <w:lang w:val="en-US"/>
        </w:rPr>
        <w:t>年12月31日，财政拨款开支的公务用车保有量为</w:t>
      </w:r>
      <w:r>
        <w:rPr>
          <w:rFonts w:hint="eastAsia" w:ascii="仿宋" w:hAnsi="仿宋" w:eastAsia="仿宋" w:cs="仿宋"/>
          <w:color w:val="000000"/>
          <w:sz w:val="32"/>
          <w:szCs w:val="24"/>
          <w:highlight w:val="none"/>
          <w:lang w:val="en-US" w:eastAsia="zh-CN"/>
        </w:rPr>
        <w:t>5</w:t>
      </w:r>
      <w:r>
        <w:rPr>
          <w:rFonts w:hint="eastAsia" w:ascii="仿宋" w:hAnsi="仿宋" w:eastAsia="仿宋" w:cs="仿宋"/>
          <w:color w:val="000000"/>
          <w:sz w:val="32"/>
          <w:szCs w:val="24"/>
          <w:highlight w:val="none"/>
          <w:lang w:val="en-US"/>
        </w:rPr>
        <w:t>辆。</w:t>
      </w:r>
    </w:p>
    <w:p>
      <w:pPr>
        <w:spacing w:beforeLines="0" w:afterLines="0" w:line="600" w:lineRule="exact"/>
        <w:ind w:firstLine="641"/>
        <w:rPr>
          <w:rFonts w:hint="eastAsia" w:ascii="仿宋" w:hAnsi="仿宋" w:eastAsia="仿宋" w:cs="仿宋"/>
          <w:color w:val="000000"/>
          <w:sz w:val="32"/>
          <w:szCs w:val="24"/>
          <w:highlight w:val="none"/>
          <w:lang w:val="en-US"/>
        </w:rPr>
      </w:pPr>
      <w:r>
        <w:rPr>
          <w:rFonts w:hint="eastAsia" w:ascii="仿宋" w:hAnsi="仿宋" w:eastAsia="仿宋" w:cs="仿宋"/>
          <w:b/>
          <w:color w:val="000000"/>
          <w:sz w:val="32"/>
          <w:szCs w:val="24"/>
          <w:highlight w:val="none"/>
          <w:lang w:val="en-US"/>
        </w:rPr>
        <w:t>（</w:t>
      </w:r>
      <w:r>
        <w:rPr>
          <w:rFonts w:hint="eastAsia" w:ascii="仿宋" w:hAnsi="仿宋" w:eastAsia="仿宋" w:cs="仿宋"/>
          <w:b/>
          <w:color w:val="000000"/>
          <w:sz w:val="32"/>
          <w:szCs w:val="24"/>
          <w:highlight w:val="none"/>
          <w:lang w:val="en-US" w:eastAsia="zh-CN"/>
        </w:rPr>
        <w:t>3</w:t>
      </w:r>
      <w:r>
        <w:rPr>
          <w:rFonts w:hint="eastAsia" w:ascii="仿宋" w:hAnsi="仿宋" w:eastAsia="仿宋" w:cs="仿宋"/>
          <w:b/>
          <w:color w:val="000000"/>
          <w:sz w:val="32"/>
          <w:szCs w:val="24"/>
          <w:highlight w:val="none"/>
          <w:lang w:val="en-US"/>
        </w:rPr>
        <w:t>）公务接待费</w:t>
      </w:r>
      <w:r>
        <w:rPr>
          <w:rFonts w:hint="eastAsia" w:ascii="仿宋" w:hAnsi="仿宋" w:eastAsia="仿宋" w:cs="仿宋"/>
          <w:color w:val="000000"/>
          <w:sz w:val="32"/>
          <w:szCs w:val="24"/>
          <w:highlight w:val="none"/>
          <w:lang w:val="en-US"/>
        </w:rPr>
        <w:t>全年预算数为</w:t>
      </w:r>
      <w:r>
        <w:rPr>
          <w:rFonts w:hint="eastAsia" w:ascii="仿宋" w:hAnsi="仿宋" w:eastAsia="仿宋" w:cs="仿宋"/>
          <w:color w:val="000000"/>
          <w:sz w:val="32"/>
          <w:szCs w:val="24"/>
          <w:highlight w:val="none"/>
          <w:lang w:val="en-US" w:eastAsia="zh-CN"/>
        </w:rPr>
        <w:t>4.70</w:t>
      </w:r>
      <w:r>
        <w:rPr>
          <w:rFonts w:hint="eastAsia" w:ascii="仿宋" w:hAnsi="仿宋" w:eastAsia="仿宋" w:cs="仿宋"/>
          <w:color w:val="000000"/>
          <w:sz w:val="32"/>
          <w:szCs w:val="24"/>
          <w:highlight w:val="none"/>
          <w:lang w:val="en-US"/>
        </w:rPr>
        <w:t>万元，支出决算为</w:t>
      </w:r>
      <w:r>
        <w:rPr>
          <w:rFonts w:hint="eastAsia" w:ascii="仿宋" w:hAnsi="仿宋" w:eastAsia="仿宋" w:cs="仿宋"/>
          <w:color w:val="000000"/>
          <w:sz w:val="32"/>
          <w:szCs w:val="24"/>
          <w:highlight w:val="none"/>
          <w:lang w:val="en-US" w:eastAsia="zh-CN"/>
        </w:rPr>
        <w:t>4.70</w:t>
      </w:r>
      <w:r>
        <w:rPr>
          <w:rFonts w:hint="eastAsia" w:ascii="仿宋" w:hAnsi="仿宋" w:eastAsia="仿宋" w:cs="仿宋"/>
          <w:color w:val="000000"/>
          <w:sz w:val="32"/>
          <w:szCs w:val="24"/>
          <w:highlight w:val="none"/>
          <w:lang w:val="en-US"/>
        </w:rPr>
        <w:t>万元</w:t>
      </w:r>
      <w:r>
        <w:rPr>
          <w:rFonts w:hint="eastAsia" w:ascii="仿宋" w:hAnsi="仿宋" w:eastAsia="仿宋" w:cs="仿宋"/>
          <w:sz w:val="32"/>
          <w:szCs w:val="40"/>
          <w:lang w:val="en-US" w:eastAsia="zh-CN"/>
        </w:rPr>
        <w:t>，完成全年预算的100.00%</w:t>
      </w:r>
      <w:r>
        <w:rPr>
          <w:rFonts w:hint="eastAsia" w:ascii="仿宋" w:hAnsi="仿宋" w:eastAsia="仿宋" w:cs="仿宋"/>
          <w:color w:val="000000"/>
          <w:sz w:val="32"/>
          <w:szCs w:val="24"/>
          <w:highlight w:val="none"/>
          <w:lang w:val="en-US"/>
        </w:rPr>
        <w:t>。国内公务接待</w:t>
      </w:r>
      <w:r>
        <w:rPr>
          <w:rFonts w:hint="eastAsia" w:ascii="仿宋" w:hAnsi="仿宋" w:eastAsia="仿宋" w:cs="仿宋"/>
          <w:color w:val="000000"/>
          <w:sz w:val="32"/>
          <w:szCs w:val="24"/>
          <w:highlight w:val="none"/>
          <w:lang w:val="en-US" w:eastAsia="zh-CN"/>
        </w:rPr>
        <w:t>70</w:t>
      </w:r>
      <w:r>
        <w:rPr>
          <w:rFonts w:hint="eastAsia" w:ascii="仿宋" w:hAnsi="仿宋" w:eastAsia="仿宋" w:cs="仿宋"/>
          <w:color w:val="000000"/>
          <w:sz w:val="32"/>
          <w:szCs w:val="24"/>
          <w:highlight w:val="none"/>
          <w:lang w:val="en-US"/>
        </w:rPr>
        <w:t>批次，累计</w:t>
      </w:r>
      <w:r>
        <w:rPr>
          <w:rFonts w:hint="eastAsia" w:ascii="仿宋" w:hAnsi="仿宋" w:eastAsia="仿宋" w:cs="仿宋"/>
          <w:color w:val="000000"/>
          <w:sz w:val="32"/>
          <w:szCs w:val="24"/>
          <w:highlight w:val="none"/>
          <w:lang w:val="en-US" w:eastAsia="zh-CN"/>
        </w:rPr>
        <w:t>596</w:t>
      </w:r>
      <w:r>
        <w:rPr>
          <w:rFonts w:hint="eastAsia" w:ascii="仿宋" w:hAnsi="仿宋" w:eastAsia="仿宋" w:cs="仿宋"/>
          <w:color w:val="000000"/>
          <w:sz w:val="32"/>
          <w:szCs w:val="24"/>
          <w:highlight w:val="none"/>
          <w:lang w:val="en-US"/>
        </w:rPr>
        <w:t>人次。</w:t>
      </w:r>
      <w:r>
        <w:rPr>
          <w:rFonts w:hint="eastAsia" w:ascii="仿宋" w:hAnsi="仿宋" w:eastAsia="仿宋" w:cs="仿宋"/>
          <w:sz w:val="32"/>
          <w:szCs w:val="40"/>
          <w:lang w:val="en-US" w:eastAsia="zh-CN"/>
        </w:rPr>
        <w:t>主要用于接待上级部门、兄弟县市来院指导、调研工作的开展等支出。</w:t>
      </w:r>
      <w:r>
        <w:rPr>
          <w:rFonts w:hint="eastAsia" w:ascii="仿宋" w:hAnsi="仿宋" w:eastAsia="仿宋" w:cs="仿宋"/>
          <w:color w:val="000000"/>
          <w:sz w:val="32"/>
          <w:szCs w:val="24"/>
          <w:highlight w:val="none"/>
          <w:lang w:val="en-US"/>
        </w:rPr>
        <w:t>决算数</w:t>
      </w:r>
      <w:r>
        <w:rPr>
          <w:rFonts w:hint="eastAsia" w:ascii="仿宋" w:hAnsi="仿宋" w:eastAsia="仿宋" w:cs="仿宋"/>
          <w:color w:val="auto"/>
          <w:sz w:val="32"/>
          <w:szCs w:val="32"/>
          <w:highlight w:val="none"/>
        </w:rPr>
        <w:t>等于</w:t>
      </w:r>
      <w:r>
        <w:rPr>
          <w:rFonts w:hint="eastAsia" w:ascii="仿宋" w:hAnsi="仿宋" w:eastAsia="仿宋" w:cs="仿宋"/>
          <w:color w:val="000000"/>
          <w:sz w:val="32"/>
          <w:szCs w:val="24"/>
          <w:highlight w:val="none"/>
          <w:lang w:val="en-US"/>
        </w:rPr>
        <w:t>全年预算数的主要原因是</w:t>
      </w:r>
      <w:r>
        <w:rPr>
          <w:rFonts w:hint="eastAsia" w:ascii="仿宋" w:hAnsi="仿宋" w:eastAsia="仿宋" w:cs="仿宋"/>
          <w:kern w:val="0"/>
          <w:sz w:val="32"/>
          <w:szCs w:val="32"/>
          <w:lang w:val="en-US" w:eastAsia="zh-CN"/>
        </w:rPr>
        <w:t>贯彻节约政策，落实到位。</w:t>
      </w:r>
      <w:r>
        <w:rPr>
          <w:rFonts w:hint="eastAsia" w:ascii="仿宋" w:hAnsi="仿宋" w:eastAsia="仿宋" w:cs="仿宋"/>
          <w:color w:val="000000"/>
          <w:sz w:val="32"/>
          <w:szCs w:val="24"/>
          <w:highlight w:val="none"/>
          <w:lang w:val="en-US"/>
        </w:rPr>
        <w:t>其中：</w:t>
      </w:r>
    </w:p>
    <w:p>
      <w:pPr>
        <w:spacing w:beforeLines="0" w:afterLines="0" w:line="600" w:lineRule="exact"/>
        <w:ind w:firstLine="641"/>
        <w:rPr>
          <w:rFonts w:hint="eastAsia" w:ascii="仿宋" w:hAnsi="仿宋" w:eastAsia="仿宋" w:cs="仿宋"/>
          <w:color w:val="000000"/>
          <w:sz w:val="32"/>
          <w:szCs w:val="24"/>
          <w:highlight w:val="none"/>
          <w:lang w:val="en-US"/>
        </w:rPr>
      </w:pPr>
      <w:r>
        <w:rPr>
          <w:rFonts w:hint="eastAsia" w:ascii="仿宋" w:hAnsi="仿宋" w:eastAsia="仿宋" w:cs="仿宋"/>
          <w:b/>
          <w:color w:val="000000"/>
          <w:sz w:val="32"/>
          <w:szCs w:val="24"/>
          <w:highlight w:val="none"/>
          <w:lang w:val="en-US"/>
        </w:rPr>
        <w:t>外事接待</w:t>
      </w:r>
      <w:r>
        <w:rPr>
          <w:rFonts w:hint="eastAsia" w:ascii="仿宋" w:hAnsi="仿宋" w:eastAsia="仿宋" w:cs="仿宋"/>
          <w:color w:val="000000"/>
          <w:sz w:val="32"/>
          <w:szCs w:val="24"/>
          <w:highlight w:val="none"/>
          <w:lang w:val="en-US"/>
        </w:rPr>
        <w:t>支出</w:t>
      </w:r>
      <w:r>
        <w:rPr>
          <w:rFonts w:hint="eastAsia" w:ascii="仿宋" w:hAnsi="仿宋" w:eastAsia="仿宋" w:cs="仿宋"/>
          <w:color w:val="000000"/>
          <w:sz w:val="32"/>
          <w:szCs w:val="24"/>
          <w:highlight w:val="none"/>
          <w:lang w:val="en-US" w:eastAsia="zh-CN"/>
        </w:rPr>
        <w:t>0.00</w:t>
      </w:r>
      <w:r>
        <w:rPr>
          <w:rFonts w:hint="eastAsia" w:ascii="仿宋" w:hAnsi="仿宋" w:eastAsia="仿宋" w:cs="仿宋"/>
          <w:color w:val="000000"/>
          <w:sz w:val="32"/>
          <w:szCs w:val="24"/>
          <w:highlight w:val="none"/>
          <w:lang w:val="en-US"/>
        </w:rPr>
        <w:t>万元，接待</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批次，累计</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人次。</w:t>
      </w:r>
    </w:p>
    <w:p>
      <w:pPr>
        <w:spacing w:beforeLines="0" w:afterLines="0" w:line="600" w:lineRule="exact"/>
        <w:ind w:firstLine="641"/>
        <w:rPr>
          <w:rFonts w:hint="eastAsia" w:ascii="仿宋" w:hAnsi="仿宋" w:eastAsia="仿宋" w:cs="仿宋"/>
          <w:color w:val="000000"/>
          <w:sz w:val="32"/>
          <w:szCs w:val="24"/>
          <w:highlight w:val="none"/>
          <w:lang w:val="en-US"/>
        </w:rPr>
      </w:pPr>
      <w:r>
        <w:rPr>
          <w:rFonts w:hint="eastAsia" w:ascii="仿宋" w:hAnsi="仿宋" w:eastAsia="仿宋" w:cs="仿宋"/>
          <w:b/>
          <w:color w:val="000000"/>
          <w:sz w:val="32"/>
          <w:szCs w:val="24"/>
          <w:highlight w:val="none"/>
          <w:lang w:val="en-US"/>
        </w:rPr>
        <w:t>其他国内公务接待</w:t>
      </w:r>
      <w:r>
        <w:rPr>
          <w:rFonts w:hint="eastAsia" w:ascii="仿宋" w:hAnsi="仿宋" w:eastAsia="仿宋" w:cs="仿宋"/>
          <w:color w:val="000000"/>
          <w:sz w:val="32"/>
          <w:szCs w:val="24"/>
          <w:highlight w:val="none"/>
          <w:lang w:val="en-US"/>
        </w:rPr>
        <w:t>支出</w:t>
      </w:r>
      <w:r>
        <w:rPr>
          <w:rFonts w:hint="eastAsia" w:ascii="仿宋" w:hAnsi="仿宋" w:eastAsia="仿宋" w:cs="仿宋"/>
          <w:color w:val="000000"/>
          <w:sz w:val="32"/>
          <w:szCs w:val="24"/>
          <w:highlight w:val="none"/>
          <w:lang w:val="en-US" w:eastAsia="zh-CN"/>
        </w:rPr>
        <w:t>4.70</w:t>
      </w:r>
      <w:r>
        <w:rPr>
          <w:rFonts w:hint="eastAsia" w:ascii="仿宋" w:hAnsi="仿宋" w:eastAsia="仿宋" w:cs="仿宋"/>
          <w:color w:val="000000"/>
          <w:sz w:val="32"/>
          <w:szCs w:val="24"/>
          <w:highlight w:val="none"/>
          <w:lang w:val="en-US"/>
        </w:rPr>
        <w:t>万元，</w:t>
      </w:r>
      <w:r>
        <w:rPr>
          <w:rFonts w:hint="eastAsia" w:ascii="仿宋" w:hAnsi="仿宋" w:eastAsia="仿宋" w:cs="仿宋"/>
          <w:sz w:val="32"/>
          <w:szCs w:val="40"/>
          <w:lang w:val="en-US" w:eastAsia="zh-CN"/>
        </w:rPr>
        <w:t>主要用于上级部门、兄弟县市来院指导、调研工作</w:t>
      </w:r>
      <w:r>
        <w:rPr>
          <w:rFonts w:hint="eastAsia" w:ascii="仿宋" w:hAnsi="仿宋" w:eastAsia="仿宋" w:cs="仿宋"/>
          <w:color w:val="000000"/>
          <w:sz w:val="32"/>
          <w:szCs w:val="24"/>
          <w:highlight w:val="none"/>
          <w:lang w:val="en-US"/>
        </w:rPr>
        <w:t>接待</w:t>
      </w:r>
      <w:r>
        <w:rPr>
          <w:rFonts w:hint="eastAsia" w:ascii="仿宋" w:hAnsi="仿宋" w:eastAsia="仿宋" w:cs="仿宋"/>
          <w:color w:val="000000"/>
          <w:sz w:val="32"/>
          <w:szCs w:val="24"/>
          <w:highlight w:val="none"/>
          <w:lang w:val="en-US" w:eastAsia="zh-CN"/>
        </w:rPr>
        <w:t>70</w:t>
      </w:r>
      <w:r>
        <w:rPr>
          <w:rFonts w:hint="eastAsia" w:ascii="仿宋" w:hAnsi="仿宋" w:eastAsia="仿宋" w:cs="仿宋"/>
          <w:color w:val="000000"/>
          <w:sz w:val="32"/>
          <w:szCs w:val="24"/>
          <w:highlight w:val="none"/>
          <w:lang w:val="en-US"/>
        </w:rPr>
        <w:t>批次，累计</w:t>
      </w:r>
      <w:r>
        <w:rPr>
          <w:rFonts w:hint="eastAsia" w:ascii="仿宋" w:hAnsi="仿宋" w:eastAsia="仿宋" w:cs="仿宋"/>
          <w:color w:val="000000"/>
          <w:sz w:val="32"/>
          <w:szCs w:val="24"/>
          <w:highlight w:val="none"/>
          <w:lang w:val="en-US" w:eastAsia="zh-CN"/>
        </w:rPr>
        <w:t>596</w:t>
      </w:r>
      <w:r>
        <w:rPr>
          <w:rFonts w:hint="eastAsia" w:ascii="仿宋" w:hAnsi="仿宋" w:eastAsia="仿宋" w:cs="仿宋"/>
          <w:color w:val="000000"/>
          <w:sz w:val="32"/>
          <w:szCs w:val="24"/>
          <w:highlight w:val="none"/>
          <w:lang w:val="en-US"/>
        </w:rPr>
        <w:t>人次。</w:t>
      </w:r>
    </w:p>
    <w:p>
      <w:pPr>
        <w:spacing w:beforeLines="0" w:afterLines="0" w:line="600" w:lineRule="exact"/>
        <w:ind w:firstLine="641"/>
        <w:jc w:val="left"/>
        <w:outlineLvl w:val="1"/>
        <w:rPr>
          <w:rFonts w:hint="eastAsia" w:ascii="黑体" w:hAnsi="黑体" w:eastAsia="黑体"/>
          <w:b w:val="0"/>
          <w:bCs/>
          <w:color w:val="000000"/>
          <w:sz w:val="32"/>
          <w:szCs w:val="24"/>
          <w:highlight w:val="none"/>
          <w:lang w:val="en-US" w:eastAsia="zh-CN"/>
        </w:rPr>
      </w:pPr>
      <w:bookmarkStart w:id="45" w:name="_Toc952"/>
      <w:bookmarkStart w:id="46" w:name="_Toc_1_2_0000000057"/>
      <w:r>
        <w:rPr>
          <w:rFonts w:hint="eastAsia" w:ascii="黑体" w:hAnsi="宋体" w:eastAsia="黑体" w:cs="黑体"/>
          <w:kern w:val="2"/>
          <w:sz w:val="32"/>
          <w:szCs w:val="32"/>
          <w:lang w:val="en-US" w:eastAsia="zh-CN"/>
        </w:rPr>
        <w:t>（十）机关运行经费支出说明</w:t>
      </w:r>
      <w:bookmarkEnd w:id="45"/>
      <w:bookmarkEnd w:id="46"/>
    </w:p>
    <w:p>
      <w:p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2023年度机关运行经费年初预算数为238.28万元，支出决算为204.00万元，完成年初预算的85.61%，决算数小于预算数的主要原因历行勤俭节约政策；比2022年度减少31.07万元，下降13.22%，主要原因是历行勤俭节约政策。 </w:t>
      </w:r>
    </w:p>
    <w:p>
      <w:pPr>
        <w:ind w:firstLine="640" w:firstLineChars="200"/>
        <w:rPr>
          <w:rFonts w:hint="eastAsia" w:ascii="黑体" w:hAnsi="黑体" w:eastAsia="黑体"/>
          <w:b w:val="0"/>
          <w:bCs/>
          <w:color w:val="000000"/>
          <w:sz w:val="32"/>
          <w:szCs w:val="24"/>
          <w:highlight w:val="none"/>
          <w:lang w:val="en-US" w:eastAsia="zh-CN"/>
        </w:rPr>
      </w:pPr>
    </w:p>
    <w:p>
      <w:pPr>
        <w:spacing w:beforeLines="0" w:afterLines="0" w:line="600" w:lineRule="exact"/>
        <w:ind w:firstLine="641"/>
        <w:jc w:val="left"/>
        <w:outlineLvl w:val="1"/>
        <w:rPr>
          <w:rFonts w:hint="eastAsia" w:ascii="楷体" w:hAnsi="楷体" w:eastAsia="楷体"/>
          <w:b w:val="0"/>
          <w:bCs/>
          <w:color w:val="000000"/>
          <w:sz w:val="32"/>
          <w:szCs w:val="24"/>
          <w:highlight w:val="none"/>
          <w:lang w:val="en-US"/>
        </w:rPr>
      </w:pPr>
      <w:bookmarkStart w:id="47" w:name="_Toc20820"/>
      <w:bookmarkStart w:id="48" w:name="_Toc_1_2_0000000058"/>
      <w:r>
        <w:rPr>
          <w:rFonts w:hint="eastAsia" w:ascii="黑体" w:hAnsi="宋体" w:eastAsia="黑体" w:cs="黑体"/>
          <w:kern w:val="2"/>
          <w:sz w:val="32"/>
          <w:szCs w:val="32"/>
          <w:lang w:val="en-US" w:eastAsia="zh-CN"/>
        </w:rPr>
        <w:t>（十一）政府采购支出说明</w:t>
      </w:r>
      <w:bookmarkEnd w:id="47"/>
      <w:bookmarkEnd w:id="48"/>
    </w:p>
    <w:p>
      <w:pPr>
        <w:spacing w:beforeLines="0" w:afterLines="0" w:line="600" w:lineRule="exact"/>
        <w:ind w:firstLine="640"/>
        <w:rPr>
          <w:rFonts w:hint="eastAsia" w:ascii="仿宋" w:hAnsi="仿宋" w:eastAsia="仿宋"/>
          <w:color w:val="000000"/>
          <w:sz w:val="32"/>
          <w:szCs w:val="24"/>
          <w:highlight w:val="none"/>
          <w:lang w:val="en-US"/>
        </w:rPr>
      </w:pPr>
      <w:r>
        <w:rPr>
          <w:rFonts w:hint="eastAsia" w:ascii="仿宋" w:hAnsi="仿宋" w:eastAsia="仿宋"/>
          <w:color w:val="000000"/>
          <w:sz w:val="32"/>
          <w:szCs w:val="24"/>
          <w:highlight w:val="none"/>
          <w:lang w:val="en-US" w:eastAsia="zh-CN"/>
        </w:rPr>
        <w:t>2023</w:t>
      </w:r>
      <w:r>
        <w:rPr>
          <w:rFonts w:hint="eastAsia" w:ascii="仿宋" w:hAnsi="仿宋" w:eastAsia="仿宋"/>
          <w:color w:val="000000"/>
          <w:sz w:val="32"/>
          <w:szCs w:val="24"/>
          <w:highlight w:val="none"/>
          <w:lang w:val="en-US"/>
        </w:rPr>
        <w:t>年度政府采购支出总额</w:t>
      </w:r>
      <w:r>
        <w:rPr>
          <w:rFonts w:hint="eastAsia" w:ascii="仿宋" w:hAnsi="仿宋" w:eastAsia="仿宋"/>
          <w:color w:val="000000"/>
          <w:sz w:val="32"/>
          <w:szCs w:val="24"/>
          <w:highlight w:val="none"/>
          <w:lang w:val="en-US" w:eastAsia="zh-CN"/>
        </w:rPr>
        <w:t>65.61</w:t>
      </w:r>
      <w:r>
        <w:rPr>
          <w:rFonts w:hint="eastAsia" w:ascii="仿宋" w:hAnsi="仿宋" w:eastAsia="仿宋"/>
          <w:color w:val="000000"/>
          <w:sz w:val="32"/>
          <w:szCs w:val="24"/>
          <w:highlight w:val="none"/>
          <w:lang w:val="en-US"/>
        </w:rPr>
        <w:t>万元，其中：政府采购货物支出</w:t>
      </w:r>
      <w:r>
        <w:rPr>
          <w:rFonts w:hint="eastAsia" w:ascii="仿宋" w:hAnsi="仿宋" w:eastAsia="仿宋"/>
          <w:color w:val="000000"/>
          <w:sz w:val="32"/>
          <w:szCs w:val="24"/>
          <w:highlight w:val="none"/>
          <w:lang w:val="en-US" w:eastAsia="zh-CN"/>
        </w:rPr>
        <w:t>32.81</w:t>
      </w:r>
      <w:r>
        <w:rPr>
          <w:rFonts w:hint="eastAsia" w:ascii="仿宋" w:hAnsi="仿宋" w:eastAsia="仿宋"/>
          <w:color w:val="000000"/>
          <w:sz w:val="32"/>
          <w:szCs w:val="24"/>
          <w:highlight w:val="none"/>
          <w:lang w:val="en-US"/>
        </w:rPr>
        <w:t>万元、政府采购工程支出</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万元、政府采购服务支出</w:t>
      </w:r>
      <w:r>
        <w:rPr>
          <w:rFonts w:hint="eastAsia" w:ascii="仿宋" w:hAnsi="仿宋" w:eastAsia="仿宋"/>
          <w:color w:val="000000"/>
          <w:sz w:val="32"/>
          <w:szCs w:val="24"/>
          <w:highlight w:val="none"/>
          <w:lang w:val="en-US" w:eastAsia="zh-CN"/>
        </w:rPr>
        <w:t>32.79</w:t>
      </w:r>
      <w:r>
        <w:rPr>
          <w:rFonts w:hint="eastAsia" w:ascii="仿宋" w:hAnsi="仿宋" w:eastAsia="仿宋"/>
          <w:color w:val="000000"/>
          <w:sz w:val="32"/>
          <w:szCs w:val="24"/>
          <w:highlight w:val="none"/>
          <w:lang w:val="en-US"/>
        </w:rPr>
        <w:t>万元。授予中小企业合同金额</w:t>
      </w:r>
      <w:r>
        <w:rPr>
          <w:rFonts w:hint="eastAsia" w:ascii="仿宋" w:hAnsi="仿宋" w:eastAsia="仿宋"/>
          <w:color w:val="000000"/>
          <w:sz w:val="32"/>
          <w:szCs w:val="24"/>
          <w:highlight w:val="none"/>
          <w:lang w:val="en-US" w:eastAsia="zh-CN"/>
        </w:rPr>
        <w:t>65.61</w:t>
      </w:r>
      <w:r>
        <w:rPr>
          <w:rFonts w:hint="eastAsia" w:ascii="仿宋" w:hAnsi="仿宋" w:eastAsia="仿宋"/>
          <w:color w:val="000000"/>
          <w:sz w:val="32"/>
          <w:szCs w:val="24"/>
          <w:highlight w:val="none"/>
          <w:lang w:val="en-US"/>
        </w:rPr>
        <w:t>万元，占政府采购支出总额的</w:t>
      </w:r>
      <w:r>
        <w:rPr>
          <w:rFonts w:hint="eastAsia" w:ascii="仿宋" w:hAnsi="仿宋" w:eastAsia="仿宋"/>
          <w:color w:val="000000"/>
          <w:sz w:val="32"/>
          <w:szCs w:val="24"/>
          <w:highlight w:val="none"/>
          <w:lang w:val="en-US" w:eastAsia="zh-CN"/>
        </w:rPr>
        <w:t>100.00</w:t>
      </w:r>
      <w:r>
        <w:rPr>
          <w:rFonts w:hint="eastAsia" w:ascii="仿宋" w:hAnsi="仿宋" w:eastAsia="仿宋"/>
          <w:color w:val="000000"/>
          <w:sz w:val="32"/>
          <w:szCs w:val="24"/>
          <w:highlight w:val="none"/>
          <w:lang w:val="en-US"/>
        </w:rPr>
        <w:t>%。其中，授予小微企业合同金额</w:t>
      </w:r>
      <w:r>
        <w:rPr>
          <w:rFonts w:hint="eastAsia" w:ascii="仿宋" w:hAnsi="仿宋" w:eastAsia="仿宋"/>
          <w:color w:val="000000"/>
          <w:sz w:val="32"/>
          <w:szCs w:val="24"/>
          <w:highlight w:val="none"/>
          <w:lang w:val="en-US" w:eastAsia="zh-CN"/>
        </w:rPr>
        <w:t>65.61</w:t>
      </w:r>
      <w:r>
        <w:rPr>
          <w:rFonts w:hint="eastAsia" w:ascii="仿宋" w:hAnsi="仿宋" w:eastAsia="仿宋"/>
          <w:color w:val="000000"/>
          <w:sz w:val="32"/>
          <w:szCs w:val="24"/>
          <w:highlight w:val="none"/>
          <w:lang w:val="en-US"/>
        </w:rPr>
        <w:t>万元，占授予中小企业合同金额的</w:t>
      </w:r>
      <w:r>
        <w:rPr>
          <w:rFonts w:hint="eastAsia" w:ascii="仿宋" w:hAnsi="仿宋" w:eastAsia="仿宋"/>
          <w:color w:val="000000"/>
          <w:sz w:val="32"/>
          <w:szCs w:val="24"/>
          <w:highlight w:val="none"/>
          <w:lang w:val="en-US" w:eastAsia="zh-CN"/>
        </w:rPr>
        <w:t>100.00</w:t>
      </w:r>
      <w:r>
        <w:rPr>
          <w:rFonts w:hint="eastAsia" w:ascii="仿宋" w:hAnsi="仿宋" w:eastAsia="仿宋"/>
          <w:color w:val="000000"/>
          <w:sz w:val="32"/>
          <w:szCs w:val="24"/>
          <w:highlight w:val="none"/>
          <w:lang w:val="en-US"/>
        </w:rPr>
        <w:t>%；货物采购授予中小企业合同金额占货物支出金额的</w:t>
      </w:r>
      <w:r>
        <w:rPr>
          <w:rFonts w:hint="eastAsia" w:ascii="仿宋" w:hAnsi="仿宋" w:eastAsia="仿宋" w:cs="仿宋"/>
          <w:kern w:val="0"/>
          <w:sz w:val="32"/>
          <w:szCs w:val="32"/>
          <w:highlight w:val="none"/>
          <w:lang w:val="en-US" w:eastAsia="zh-CN"/>
        </w:rPr>
        <w:t>100</w:t>
      </w:r>
      <w:r>
        <w:rPr>
          <w:rFonts w:hint="eastAsia" w:ascii="仿宋" w:hAnsi="仿宋" w:eastAsia="仿宋"/>
          <w:color w:val="000000"/>
          <w:sz w:val="32"/>
          <w:szCs w:val="24"/>
          <w:highlight w:val="none"/>
          <w:lang w:val="en-US"/>
        </w:rPr>
        <w:t>%，工程采购授予中小企业合同金额占工程支出金额的</w:t>
      </w:r>
      <w:r>
        <w:rPr>
          <w:rFonts w:hint="eastAsia" w:ascii="仿宋" w:hAnsi="仿宋" w:eastAsia="仿宋" w:cs="仿宋"/>
          <w:kern w:val="0"/>
          <w:sz w:val="32"/>
          <w:szCs w:val="32"/>
          <w:highlight w:val="none"/>
          <w:lang w:val="en-US" w:eastAsia="zh-CN"/>
        </w:rPr>
        <w:t>0</w:t>
      </w:r>
      <w:r>
        <w:rPr>
          <w:rFonts w:hint="eastAsia" w:ascii="仿宋" w:hAnsi="仿宋" w:eastAsia="仿宋"/>
          <w:color w:val="000000"/>
          <w:sz w:val="32"/>
          <w:szCs w:val="24"/>
          <w:highlight w:val="none"/>
          <w:lang w:val="en-US"/>
        </w:rPr>
        <w:t>%，服务采购授予中小企业合同金额占服务支出金额的</w:t>
      </w:r>
      <w:r>
        <w:rPr>
          <w:rFonts w:hint="eastAsia" w:ascii="仿宋" w:hAnsi="仿宋" w:eastAsia="仿宋" w:cs="仿宋"/>
          <w:kern w:val="0"/>
          <w:sz w:val="32"/>
          <w:szCs w:val="32"/>
          <w:highlight w:val="none"/>
          <w:lang w:val="en-US" w:eastAsia="zh-CN"/>
        </w:rPr>
        <w:t>100</w:t>
      </w:r>
      <w:r>
        <w:rPr>
          <w:rFonts w:hint="eastAsia" w:ascii="仿宋" w:hAnsi="仿宋" w:eastAsia="仿宋"/>
          <w:color w:val="000000"/>
          <w:sz w:val="32"/>
          <w:szCs w:val="24"/>
          <w:highlight w:val="none"/>
          <w:lang w:val="en-US"/>
        </w:rPr>
        <w:t>%。</w:t>
      </w:r>
    </w:p>
    <w:p>
      <w:pPr>
        <w:spacing w:beforeLines="0" w:afterLines="0" w:line="600" w:lineRule="exact"/>
        <w:ind w:firstLine="641"/>
        <w:jc w:val="left"/>
        <w:outlineLvl w:val="1"/>
        <w:rPr>
          <w:rFonts w:hint="eastAsia" w:ascii="楷体" w:hAnsi="楷体" w:eastAsia="楷体"/>
          <w:b w:val="0"/>
          <w:bCs/>
          <w:color w:val="000000"/>
          <w:sz w:val="32"/>
          <w:szCs w:val="24"/>
          <w:highlight w:val="none"/>
          <w:lang w:val="en-US"/>
        </w:rPr>
      </w:pPr>
      <w:bookmarkStart w:id="49" w:name="_Toc_1_2_0000000059"/>
      <w:bookmarkStart w:id="50" w:name="_Toc11393"/>
      <w:r>
        <w:rPr>
          <w:rFonts w:hint="eastAsia" w:ascii="黑体" w:hAnsi="宋体" w:eastAsia="黑体" w:cs="黑体"/>
          <w:kern w:val="2"/>
          <w:sz w:val="32"/>
          <w:szCs w:val="32"/>
          <w:lang w:val="en-US" w:eastAsia="zh-CN"/>
        </w:rPr>
        <w:t>（十二）国有资产占有使用情况说明</w:t>
      </w:r>
      <w:bookmarkEnd w:id="49"/>
      <w:bookmarkEnd w:id="50"/>
    </w:p>
    <w:p>
      <w:pPr>
        <w:spacing w:beforeLines="0" w:afterLines="0" w:line="600" w:lineRule="exact"/>
        <w:ind w:firstLine="594"/>
        <w:rPr>
          <w:rFonts w:hint="eastAsia" w:ascii="楷体" w:hAnsi="楷体" w:eastAsia="楷体"/>
          <w:b/>
          <w:color w:val="000000"/>
          <w:sz w:val="32"/>
          <w:szCs w:val="24"/>
          <w:highlight w:val="none"/>
          <w:lang w:val="en-US"/>
        </w:rPr>
      </w:pPr>
      <w:r>
        <w:rPr>
          <w:rFonts w:hint="eastAsia" w:ascii="仿宋" w:hAnsi="仿宋" w:eastAsia="仿宋" w:cs="仿宋"/>
          <w:color w:val="000000"/>
          <w:sz w:val="32"/>
          <w:szCs w:val="24"/>
          <w:highlight w:val="none"/>
          <w:lang w:val="en-US"/>
        </w:rPr>
        <w:t>截至</w:t>
      </w:r>
      <w:r>
        <w:rPr>
          <w:rFonts w:hint="eastAsia" w:ascii="仿宋" w:hAnsi="仿宋" w:eastAsia="仿宋" w:cs="仿宋"/>
          <w:color w:val="000000"/>
          <w:sz w:val="32"/>
          <w:szCs w:val="24"/>
          <w:highlight w:val="none"/>
          <w:lang w:val="en-US" w:eastAsia="zh-CN"/>
        </w:rPr>
        <w:t>2023</w:t>
      </w:r>
      <w:r>
        <w:rPr>
          <w:rFonts w:hint="eastAsia" w:ascii="仿宋" w:hAnsi="仿宋" w:eastAsia="仿宋" w:cs="仿宋"/>
          <w:color w:val="000000"/>
          <w:sz w:val="32"/>
          <w:szCs w:val="24"/>
          <w:highlight w:val="none"/>
          <w:lang w:val="en-US"/>
        </w:rPr>
        <w:t>年12月31日，</w:t>
      </w:r>
      <w:r>
        <w:rPr>
          <w:rFonts w:hint="eastAsia" w:ascii="仿宋" w:hAnsi="仿宋" w:eastAsia="仿宋" w:cs="仿宋"/>
          <w:kern w:val="2"/>
          <w:sz w:val="32"/>
          <w:szCs w:val="32"/>
          <w:highlight w:val="none"/>
          <w:lang w:val="en-US" w:eastAsia="zh-CN"/>
        </w:rPr>
        <w:t>庆元县人民检察院本级</w:t>
      </w:r>
      <w:r>
        <w:rPr>
          <w:rFonts w:hint="eastAsia" w:ascii="仿宋" w:hAnsi="仿宋" w:eastAsia="仿宋" w:cs="仿宋"/>
          <w:color w:val="000000"/>
          <w:sz w:val="32"/>
          <w:szCs w:val="24"/>
          <w:highlight w:val="none"/>
          <w:lang w:val="en-US"/>
        </w:rPr>
        <w:t>共有车辆</w:t>
      </w:r>
      <w:r>
        <w:rPr>
          <w:rFonts w:hint="eastAsia" w:ascii="仿宋" w:hAnsi="仿宋" w:eastAsia="仿宋" w:cs="仿宋"/>
          <w:color w:val="000000"/>
          <w:sz w:val="32"/>
          <w:szCs w:val="24"/>
          <w:highlight w:val="none"/>
          <w:lang w:val="en-US" w:eastAsia="zh-CN"/>
        </w:rPr>
        <w:t>5</w:t>
      </w:r>
      <w:r>
        <w:rPr>
          <w:rFonts w:hint="eastAsia" w:ascii="仿宋" w:hAnsi="仿宋" w:eastAsia="仿宋" w:cs="仿宋"/>
          <w:color w:val="000000"/>
          <w:sz w:val="32"/>
          <w:szCs w:val="24"/>
          <w:highlight w:val="none"/>
          <w:lang w:val="en-US"/>
        </w:rPr>
        <w:t>辆，其中，副部（省）级及以上领导用车</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辆、主要</w:t>
      </w:r>
      <w:r>
        <w:rPr>
          <w:rFonts w:hint="eastAsia" w:ascii="仿宋" w:hAnsi="仿宋" w:eastAsia="仿宋" w:cs="仿宋"/>
          <w:color w:val="000000"/>
          <w:sz w:val="32"/>
          <w:szCs w:val="24"/>
          <w:highlight w:val="none"/>
          <w:lang w:val="en-US" w:eastAsia="zh-CN"/>
        </w:rPr>
        <w:t>领导干部</w:t>
      </w:r>
      <w:r>
        <w:rPr>
          <w:rFonts w:hint="eastAsia" w:ascii="仿宋" w:hAnsi="仿宋" w:eastAsia="仿宋" w:cs="仿宋"/>
          <w:color w:val="000000"/>
          <w:sz w:val="32"/>
          <w:szCs w:val="24"/>
          <w:highlight w:val="none"/>
          <w:lang w:val="en-US"/>
        </w:rPr>
        <w:t>用车</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辆、机要通信用车</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辆、应急保障用车</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辆、执法执勤用车</w:t>
      </w:r>
      <w:r>
        <w:rPr>
          <w:rFonts w:hint="eastAsia" w:ascii="仿宋" w:hAnsi="仿宋" w:eastAsia="仿宋" w:cs="仿宋"/>
          <w:color w:val="000000"/>
          <w:sz w:val="32"/>
          <w:szCs w:val="24"/>
          <w:highlight w:val="none"/>
          <w:lang w:val="en-US" w:eastAsia="zh-CN"/>
        </w:rPr>
        <w:t>4</w:t>
      </w:r>
      <w:r>
        <w:rPr>
          <w:rFonts w:hint="eastAsia" w:ascii="仿宋" w:hAnsi="仿宋" w:eastAsia="仿宋" w:cs="仿宋"/>
          <w:color w:val="000000"/>
          <w:sz w:val="32"/>
          <w:szCs w:val="24"/>
          <w:highlight w:val="none"/>
          <w:lang w:val="en-US"/>
        </w:rPr>
        <w:t>辆、特种专业技术用车</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辆、离退休干部用车</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辆、其他用车</w:t>
      </w:r>
      <w:r>
        <w:rPr>
          <w:rFonts w:hint="eastAsia" w:ascii="仿宋" w:hAnsi="仿宋" w:eastAsia="仿宋" w:cs="仿宋"/>
          <w:color w:val="000000"/>
          <w:sz w:val="32"/>
          <w:szCs w:val="24"/>
          <w:highlight w:val="none"/>
          <w:lang w:val="en-US" w:eastAsia="zh-CN"/>
        </w:rPr>
        <w:t>1</w:t>
      </w:r>
      <w:r>
        <w:rPr>
          <w:rFonts w:hint="eastAsia" w:ascii="仿宋" w:hAnsi="仿宋" w:eastAsia="仿宋" w:cs="仿宋"/>
          <w:color w:val="000000"/>
          <w:sz w:val="32"/>
          <w:szCs w:val="24"/>
          <w:highlight w:val="none"/>
          <w:lang w:val="en-US"/>
        </w:rPr>
        <w:t>辆</w:t>
      </w:r>
      <w:r>
        <w:rPr>
          <w:rFonts w:hint="eastAsia" w:ascii="仿宋" w:hAnsi="仿宋" w:eastAsia="仿宋" w:cs="仿宋"/>
          <w:sz w:val="32"/>
          <w:szCs w:val="40"/>
          <w:lang w:val="en-US" w:eastAsia="zh-CN"/>
        </w:rPr>
        <w:t>,其他用车主要是办案</w:t>
      </w:r>
      <w:r>
        <w:rPr>
          <w:rFonts w:hint="eastAsia" w:ascii="仿宋" w:hAnsi="仿宋" w:eastAsia="仿宋" w:cs="仿宋"/>
          <w:color w:val="000000"/>
          <w:sz w:val="32"/>
          <w:szCs w:val="24"/>
          <w:highlight w:val="none"/>
          <w:lang w:val="en-US"/>
        </w:rPr>
        <w:t>；单价100万元以上设备（不含车辆）</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台（套）。</w:t>
      </w:r>
      <w:r>
        <w:rPr>
          <w:rFonts w:hint="eastAsia" w:ascii="仿宋" w:hAnsi="仿宋" w:eastAsia="仿宋"/>
          <w:color w:val="000000"/>
          <w:sz w:val="32"/>
          <w:szCs w:val="24"/>
          <w:highlight w:val="none"/>
          <w:lang w:val="en-US"/>
        </w:rPr>
        <w:t xml:space="preserve"> </w:t>
      </w:r>
    </w:p>
    <w:p>
      <w:pPr>
        <w:spacing w:beforeLines="0" w:afterLines="0" w:line="600" w:lineRule="exact"/>
        <w:ind w:firstLine="641"/>
        <w:jc w:val="left"/>
        <w:outlineLvl w:val="1"/>
        <w:rPr>
          <w:rFonts w:hint="eastAsia" w:ascii="楷体" w:hAnsi="楷体" w:eastAsia="楷体"/>
          <w:b w:val="0"/>
          <w:bCs/>
          <w:color w:val="000000"/>
          <w:sz w:val="32"/>
          <w:szCs w:val="24"/>
          <w:highlight w:val="none"/>
          <w:lang w:val="en-US"/>
        </w:rPr>
      </w:pPr>
      <w:bookmarkStart w:id="51" w:name="_Toc_1_2_0000000060"/>
      <w:bookmarkStart w:id="52" w:name="_Toc7528"/>
      <w:r>
        <w:rPr>
          <w:rFonts w:hint="eastAsia" w:ascii="黑体" w:hAnsi="宋体" w:eastAsia="黑体" w:cs="黑体"/>
          <w:kern w:val="2"/>
          <w:sz w:val="32"/>
          <w:szCs w:val="32"/>
          <w:lang w:val="en-US" w:eastAsia="zh-CN"/>
        </w:rPr>
        <w:t>（十三）预算绩效情况说明</w:t>
      </w:r>
      <w:bookmarkEnd w:id="51"/>
      <w:bookmarkEnd w:id="52"/>
    </w:p>
    <w:p>
      <w:pPr>
        <w:spacing w:beforeLines="0" w:afterLines="0" w:line="600" w:lineRule="exact"/>
        <w:ind w:firstLine="594"/>
        <w:outlineLvl w:val="9"/>
        <w:rPr>
          <w:rFonts w:hint="eastAsia" w:ascii="仿宋" w:hAnsi="仿宋" w:eastAsia="仿宋" w:cs="仿宋"/>
          <w:color w:val="000000"/>
          <w:sz w:val="32"/>
          <w:szCs w:val="24"/>
          <w:highlight w:val="none"/>
          <w:lang w:val="en-US"/>
        </w:rPr>
      </w:pPr>
      <w:r>
        <w:rPr>
          <w:rFonts w:hint="eastAsia" w:ascii="仿宋" w:hAnsi="仿宋" w:eastAsia="仿宋" w:cs="仿宋"/>
          <w:b/>
          <w:color w:val="000000"/>
          <w:sz w:val="32"/>
          <w:szCs w:val="24"/>
          <w:highlight w:val="none"/>
          <w:lang w:val="en-US"/>
        </w:rPr>
        <w:t>1.预算绩效管理工作开展情况</w:t>
      </w:r>
    </w:p>
    <w:p>
      <w:pPr>
        <w:spacing w:beforeLines="0" w:afterLines="0" w:line="600" w:lineRule="exact"/>
        <w:ind w:firstLine="640"/>
        <w:rPr>
          <w:rFonts w:hint="eastAsia" w:ascii="仿宋" w:hAnsi="仿宋" w:eastAsia="仿宋" w:cs="仿宋"/>
          <w:kern w:val="2"/>
          <w:sz w:val="32"/>
          <w:szCs w:val="32"/>
          <w:highlight w:val="none"/>
          <w:lang w:val="en-US" w:eastAsia="zh-CN"/>
        </w:rPr>
      </w:pPr>
      <w:r>
        <w:rPr>
          <w:rFonts w:hint="eastAsia" w:ascii="仿宋" w:hAnsi="仿宋" w:eastAsia="仿宋" w:cs="仿宋"/>
          <w:color w:val="000000"/>
          <w:sz w:val="32"/>
          <w:szCs w:val="24"/>
          <w:highlight w:val="none"/>
          <w:lang w:val="en-US"/>
        </w:rPr>
        <w:t>根据预算绩效管理要求，</w:t>
      </w:r>
      <w:r>
        <w:rPr>
          <w:rFonts w:hint="eastAsia" w:ascii="仿宋" w:hAnsi="仿宋" w:eastAsia="仿宋" w:cs="仿宋"/>
          <w:kern w:val="2"/>
          <w:sz w:val="32"/>
          <w:szCs w:val="32"/>
          <w:highlight w:val="none"/>
          <w:lang w:val="en-US" w:eastAsia="zh-CN"/>
        </w:rPr>
        <w:t>庆元县人民检察院</w:t>
      </w:r>
      <w:r>
        <w:rPr>
          <w:rFonts w:hint="eastAsia" w:ascii="仿宋" w:hAnsi="仿宋" w:eastAsia="仿宋" w:cs="仿宋"/>
          <w:color w:val="000000"/>
          <w:sz w:val="32"/>
          <w:szCs w:val="24"/>
          <w:highlight w:val="none"/>
          <w:lang w:val="en-US"/>
        </w:rPr>
        <w:t>组织对</w:t>
      </w:r>
      <w:r>
        <w:rPr>
          <w:rFonts w:hint="eastAsia" w:ascii="仿宋" w:hAnsi="仿宋" w:eastAsia="仿宋" w:cs="仿宋"/>
          <w:color w:val="000000"/>
          <w:sz w:val="32"/>
          <w:szCs w:val="24"/>
          <w:highlight w:val="none"/>
          <w:lang w:val="en-US" w:eastAsia="zh-CN"/>
        </w:rPr>
        <w:t>2023</w:t>
      </w:r>
      <w:r>
        <w:rPr>
          <w:rFonts w:hint="eastAsia" w:ascii="仿宋" w:hAnsi="仿宋" w:eastAsia="仿宋" w:cs="仿宋"/>
          <w:color w:val="000000"/>
          <w:sz w:val="32"/>
          <w:szCs w:val="24"/>
          <w:highlight w:val="none"/>
          <w:lang w:val="en-US"/>
        </w:rPr>
        <w:t>年度一般公共预算项目支出全面开展绩效自评，其中，一级项目</w:t>
      </w:r>
      <w:r>
        <w:rPr>
          <w:rFonts w:hint="eastAsia" w:ascii="仿宋" w:hAnsi="仿宋" w:eastAsia="仿宋" w:cs="仿宋"/>
          <w:kern w:val="2"/>
          <w:sz w:val="32"/>
          <w:szCs w:val="32"/>
          <w:highlight w:val="none"/>
          <w:lang w:val="en-US" w:eastAsia="zh-CN"/>
        </w:rPr>
        <w:t>1</w:t>
      </w:r>
      <w:r>
        <w:rPr>
          <w:rFonts w:hint="eastAsia" w:ascii="仿宋" w:hAnsi="仿宋" w:eastAsia="仿宋" w:cs="仿宋"/>
          <w:color w:val="000000"/>
          <w:sz w:val="32"/>
          <w:szCs w:val="24"/>
          <w:highlight w:val="none"/>
          <w:lang w:val="en-US"/>
        </w:rPr>
        <w:t>个，二级项目</w:t>
      </w:r>
      <w:r>
        <w:rPr>
          <w:rFonts w:hint="eastAsia" w:ascii="仿宋" w:hAnsi="仿宋" w:eastAsia="仿宋" w:cs="仿宋"/>
          <w:kern w:val="2"/>
          <w:sz w:val="32"/>
          <w:szCs w:val="32"/>
          <w:highlight w:val="none"/>
          <w:lang w:val="en-US" w:eastAsia="zh-CN"/>
        </w:rPr>
        <w:t>7</w:t>
      </w:r>
      <w:r>
        <w:rPr>
          <w:rFonts w:hint="eastAsia" w:ascii="仿宋" w:hAnsi="仿宋" w:eastAsia="仿宋" w:cs="仿宋"/>
          <w:color w:val="000000"/>
          <w:sz w:val="32"/>
          <w:szCs w:val="24"/>
          <w:highlight w:val="none"/>
          <w:lang w:val="en-US"/>
        </w:rPr>
        <w:t>个，共涉及资金</w:t>
      </w:r>
      <w:r>
        <w:rPr>
          <w:rFonts w:hint="eastAsia" w:ascii="仿宋" w:hAnsi="仿宋" w:eastAsia="仿宋" w:cs="仿宋"/>
          <w:kern w:val="2"/>
          <w:sz w:val="32"/>
          <w:szCs w:val="32"/>
          <w:highlight w:val="none"/>
          <w:lang w:val="en-US" w:eastAsia="zh-CN"/>
        </w:rPr>
        <w:t>552.57</w:t>
      </w:r>
      <w:r>
        <w:rPr>
          <w:rFonts w:hint="eastAsia" w:ascii="仿宋" w:hAnsi="仿宋" w:eastAsia="仿宋" w:cs="仿宋"/>
          <w:color w:val="000000"/>
          <w:sz w:val="32"/>
          <w:szCs w:val="24"/>
          <w:highlight w:val="none"/>
          <w:lang w:val="en-US"/>
        </w:rPr>
        <w:t>万元，占一般公共预算项目支出总额的</w:t>
      </w:r>
      <w:r>
        <w:rPr>
          <w:rFonts w:hint="eastAsia" w:ascii="仿宋" w:hAnsi="仿宋" w:eastAsia="仿宋" w:cs="仿宋"/>
          <w:kern w:val="2"/>
          <w:sz w:val="32"/>
          <w:szCs w:val="32"/>
          <w:highlight w:val="none"/>
          <w:lang w:val="en-US" w:eastAsia="zh-CN"/>
        </w:rPr>
        <w:t>100%。</w:t>
      </w:r>
    </w:p>
    <w:p>
      <w:pPr>
        <w:spacing w:beforeLines="0" w:afterLines="0" w:line="600" w:lineRule="exact"/>
        <w:ind w:firstLine="320" w:firstLineChars="100"/>
        <w:rPr>
          <w:rFonts w:hint="eastAsia" w:ascii="仿宋" w:hAnsi="仿宋" w:eastAsia="仿宋" w:cs="仿宋"/>
          <w:color w:val="000000"/>
          <w:sz w:val="32"/>
          <w:szCs w:val="24"/>
          <w:highlight w:val="none"/>
          <w:lang w:val="en-US"/>
        </w:rPr>
      </w:pPr>
      <w:r>
        <w:rPr>
          <w:rFonts w:hint="eastAsia" w:ascii="仿宋" w:hAnsi="仿宋" w:eastAsia="仿宋" w:cs="仿宋"/>
          <w:kern w:val="2"/>
          <w:sz w:val="32"/>
          <w:szCs w:val="32"/>
          <w:highlight w:val="none"/>
          <w:lang w:val="en-US" w:eastAsia="zh-CN"/>
        </w:rPr>
        <w:t>本年无政府性基金预算项目。</w:t>
      </w:r>
    </w:p>
    <w:p>
      <w:pPr>
        <w:spacing w:beforeLines="0" w:afterLines="0" w:line="600" w:lineRule="exact"/>
        <w:ind w:firstLine="320" w:firstLineChars="100"/>
        <w:rPr>
          <w:rFonts w:hint="eastAsia" w:ascii="仿宋" w:hAnsi="仿宋" w:eastAsia="仿宋" w:cs="仿宋"/>
          <w:color w:val="000000"/>
          <w:sz w:val="32"/>
          <w:szCs w:val="24"/>
          <w:highlight w:val="none"/>
          <w:lang w:val="en-US"/>
        </w:rPr>
      </w:pPr>
      <w:r>
        <w:rPr>
          <w:rFonts w:hint="eastAsia" w:ascii="仿宋" w:hAnsi="仿宋" w:eastAsia="仿宋" w:cs="仿宋"/>
          <w:kern w:val="2"/>
          <w:sz w:val="32"/>
          <w:szCs w:val="32"/>
          <w:highlight w:val="none"/>
          <w:lang w:val="en-US" w:eastAsia="zh-CN"/>
        </w:rPr>
        <w:t>本年无国有资本经营预算项目。</w:t>
      </w:r>
    </w:p>
    <w:p>
      <w:pPr>
        <w:spacing w:beforeLines="0" w:afterLines="0" w:line="600" w:lineRule="exact"/>
        <w:ind w:firstLine="320" w:firstLineChars="100"/>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  组织对“法治教育宣传经费”““科技强检”建设与应用经费”等7个项目开展了部门评价，涉及一般公共预算支出552.57万元，政府性基金预算支出0万元，国有资本经营预算支出0万元。从评价情况来看，7个项目评价结果为“优”。</w:t>
      </w:r>
    </w:p>
    <w:p>
      <w:pPr>
        <w:spacing w:beforeLines="0" w:afterLines="0" w:line="600" w:lineRule="exact"/>
        <w:ind w:firstLine="320" w:firstLineChars="100"/>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  组织对本部门（部门）开展整体支出绩效评价，从评价情况来看，本部门整体目标完成情况如下：一是用心用情办好民生领域案件。落实食品安全“四个最严”要求，坚决打击制售假药劣药、有毒有害食品等犯罪，依法起诉5件7人，办理公益诉讼案件10件。；二是全心全意纾解群众急难愁盼。严格落实院领导定期接访制度，妥善处理群众来信来访73件、答复率100%，办理信访立案监督案件10件，让公平正义可触可感可信。。三是群策群力保障特殊群体权益。对侵害未成年人犯罪“零容忍”，批准逮捕5人，提起公诉3人，对情节轻微、悔罪表现较好的涉罪未成年人附条件不起诉5人，支持起诉2件；落实“谁执法谁普法”责任制，通过“203号”法律宣讲团、“廊桥普法”“法治进校园”等普法宣传活动20余场次，各类活动覆盖受众2300余人，筑牢法治屏障。四是刑事检察提质增效。加强刑事诉讼监督，监督立案13件，撤案6件，纠正漏捕、漏诉11人，深入落实认罪认罚从宽制度，适用率为81.99%，确定刑量刑建议采纳率为97.26%，有效促进社会和谐。五是民事行政检察持续深化。注重监督质与量的统一，扎实开展民事诉讼活动监督，查办虚假诉讼监督案件15件，督促法院依法改判。加强民事审判和执行活动监督，深入开展司法网拍、诉讼主体失格等专项监督行动，提出检察建议22件，坚决维护司法权威。六是公益诉讼检察卓有成效。在百山祖挂牌成立首个公益诉讼联络点，针对浙闽边界存在破坏两省耕地资源的违法情形，与松溪县检察院联合办理某公司非法占用农用地刑事附带民事公益诉讼案，法检两长同庭履职判处该公司支付生态环境修复费用及鉴定费用151万元，督促追缴耕地占用税及滞纳金313万余元，守护耕地红线、保护粮食安全。</w:t>
      </w:r>
    </w:p>
    <w:p>
      <w:pPr>
        <w:spacing w:beforeLines="0" w:afterLines="0" w:line="600" w:lineRule="exact"/>
        <w:ind w:firstLine="320" w:firstLineChars="100"/>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本年无下属部门。</w:t>
      </w:r>
    </w:p>
    <w:p>
      <w:pPr>
        <w:numPr>
          <w:ilvl w:val="0"/>
          <w:numId w:val="0"/>
        </w:numPr>
        <w:spacing w:beforeLines="0" w:afterLines="0" w:line="600" w:lineRule="exact"/>
        <w:ind w:firstLine="643" w:firstLineChars="200"/>
        <w:rPr>
          <w:rFonts w:hint="eastAsia" w:ascii="仿宋" w:hAnsi="仿宋" w:eastAsia="仿宋" w:cs="仿宋"/>
          <w:b/>
          <w:color w:val="000000"/>
          <w:sz w:val="32"/>
          <w:szCs w:val="24"/>
          <w:highlight w:val="none"/>
          <w:lang w:val="en-US"/>
        </w:rPr>
      </w:pPr>
      <w:r>
        <w:rPr>
          <w:rFonts w:hint="eastAsia" w:ascii="仿宋" w:hAnsi="仿宋" w:eastAsia="仿宋" w:cs="仿宋"/>
          <w:b/>
          <w:color w:val="000000"/>
          <w:sz w:val="32"/>
          <w:szCs w:val="24"/>
          <w:highlight w:val="none"/>
          <w:lang w:val="en-US" w:eastAsia="zh-CN"/>
        </w:rPr>
        <w:t>2</w:t>
      </w:r>
      <w:r>
        <w:rPr>
          <w:rFonts w:hint="eastAsia" w:ascii="仿宋" w:hAnsi="仿宋" w:eastAsia="仿宋" w:cs="仿宋"/>
          <w:b/>
          <w:color w:val="000000"/>
          <w:sz w:val="32"/>
          <w:szCs w:val="24"/>
          <w:highlight w:val="none"/>
          <w:lang w:val="en-US"/>
        </w:rPr>
        <w:t>.</w:t>
      </w:r>
      <w:r>
        <w:rPr>
          <w:rFonts w:hint="eastAsia" w:ascii="仿宋" w:hAnsi="仿宋" w:eastAsia="仿宋" w:cs="仿宋"/>
          <w:b/>
          <w:color w:val="000000"/>
          <w:sz w:val="32"/>
          <w:szCs w:val="24"/>
          <w:highlight w:val="none"/>
          <w:lang w:val="en-US" w:eastAsia="zh-CN"/>
        </w:rPr>
        <w:t>部门</w:t>
      </w:r>
      <w:r>
        <w:rPr>
          <w:rFonts w:hint="eastAsia" w:ascii="仿宋" w:hAnsi="仿宋" w:eastAsia="仿宋" w:cs="仿宋"/>
          <w:b/>
          <w:color w:val="000000"/>
          <w:sz w:val="32"/>
          <w:szCs w:val="24"/>
          <w:highlight w:val="none"/>
          <w:lang w:val="en-US"/>
        </w:rPr>
        <w:t>决算中项目绩效自评结果</w:t>
      </w:r>
    </w:p>
    <w:p>
      <w:pPr>
        <w:spacing w:beforeLines="0" w:afterLines="0" w:line="600" w:lineRule="exact"/>
        <w:rPr>
          <w:rFonts w:hint="eastAsia" w:ascii="仿宋" w:hAnsi="仿宋" w:eastAsia="仿宋" w:cs="仿宋"/>
          <w:color w:val="000000"/>
          <w:sz w:val="32"/>
          <w:szCs w:val="24"/>
          <w:highlight w:val="none"/>
          <w:lang w:val="en-US"/>
        </w:rPr>
      </w:pPr>
      <w:r>
        <w:rPr>
          <w:rFonts w:hint="eastAsia" w:ascii="仿宋" w:hAnsi="仿宋" w:eastAsia="仿宋" w:cs="仿宋"/>
          <w:kern w:val="2"/>
          <w:sz w:val="32"/>
          <w:szCs w:val="32"/>
          <w:highlight w:val="none"/>
          <w:lang w:val="en-US" w:eastAsia="zh-CN"/>
        </w:rPr>
        <w:t>  庆元县人民检察院随决算公开2023年度本部门项目支出绩效自评结果（详见附件）。其中，法治教育宣传经费和“科技强检”建设与应用经费项目绩效自评具体情况如下：</w:t>
      </w:r>
    </w:p>
    <w:p>
      <w:pPr>
        <w:spacing w:beforeLines="0" w:afterLines="0" w:line="600" w:lineRule="exact"/>
        <w:rPr>
          <w:rFonts w:hint="eastAsia" w:ascii="仿宋" w:hAnsi="仿宋" w:eastAsia="仿宋" w:cs="仿宋"/>
          <w:kern w:val="2"/>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kern w:val="2"/>
          <w:sz w:val="32"/>
          <w:szCs w:val="32"/>
          <w:highlight w:val="none"/>
          <w:lang w:val="en-US" w:eastAsia="zh-CN"/>
        </w:rPr>
        <w:t>  “科技强检”建设与应用经费项目绩效自评综述：根据年初设定的绩效目标，项目自评得分100分，自评结论为“优”。项目全年预算数为30万元，执行数为30万元，完成预算的100%。项目绩效目标完成情况：一是线路租用（维护）数量5条，基本系统维护次数50余次；二是数据共享率为100%。。发现的问题及原因：无。</w:t>
      </w:r>
    </w:p>
    <w:tbl>
      <w:tblPr>
        <w:tblStyle w:val="10"/>
        <w:tblW w:w="0" w:type="auto"/>
        <w:jc w:val="center"/>
        <w:tblLayout w:type="fixed"/>
        <w:tblCellMar>
          <w:top w:w="0" w:type="dxa"/>
          <w:left w:w="20" w:type="dxa"/>
          <w:bottom w:w="0" w:type="dxa"/>
          <w:right w:w="20" w:type="dxa"/>
        </w:tblCellMar>
      </w:tblPr>
      <w:tblGrid>
        <w:gridCol w:w="991"/>
        <w:gridCol w:w="991"/>
        <w:gridCol w:w="991"/>
        <w:gridCol w:w="991"/>
        <w:gridCol w:w="991"/>
        <w:gridCol w:w="991"/>
        <w:gridCol w:w="991"/>
        <w:gridCol w:w="991"/>
        <w:gridCol w:w="991"/>
        <w:gridCol w:w="991"/>
      </w:tblGrid>
      <w:tr>
        <w:tblPrEx>
          <w:tblCellMar>
            <w:top w:w="0" w:type="dxa"/>
            <w:left w:w="20" w:type="dxa"/>
            <w:bottom w:w="0" w:type="dxa"/>
            <w:right w:w="20" w:type="dxa"/>
          </w:tblCellMar>
        </w:tblPrEx>
        <w:trPr>
          <w:trHeight w:val="409" w:hRule="exact"/>
          <w:jc w:val="center"/>
        </w:trPr>
        <w:tc>
          <w:tcPr>
            <w:tcW w:w="9910" w:type="dxa"/>
            <w:gridSpan w:val="10"/>
            <w:shd w:val="clear" w:color="auto" w:fill="auto"/>
            <w:vAlign w:val="center"/>
          </w:tcPr>
          <w:p>
            <w:pPr>
              <w:snapToGrid w:val="0"/>
              <w:spacing w:before="0" w:beforeAutospacing="0" w:after="0" w:afterAutospacing="0" w:line="240" w:lineRule="auto"/>
              <w:jc w:val="center"/>
            </w:pPr>
            <w:r>
              <w:rPr>
                <w:rFonts w:ascii="方正小标宋简体" w:hAnsi="方正小标宋简体" w:eastAsia="方正小标宋简体" w:cs="方正小标宋简体"/>
                <w:b w:val="0"/>
                <w:i w:val="0"/>
                <w:color w:val="000000"/>
                <w:sz w:val="31"/>
              </w:rPr>
              <w:t>项目支出绩效自评表</w:t>
            </w:r>
          </w:p>
        </w:tc>
      </w:tr>
      <w:tr>
        <w:tblPrEx>
          <w:tblCellMar>
            <w:top w:w="0" w:type="dxa"/>
            <w:left w:w="20" w:type="dxa"/>
            <w:bottom w:w="0" w:type="dxa"/>
            <w:right w:w="20" w:type="dxa"/>
          </w:tblCellMar>
        </w:tblPrEx>
        <w:trPr>
          <w:trHeight w:val="230" w:hRule="exact"/>
          <w:jc w:val="center"/>
        </w:trPr>
        <w:tc>
          <w:tcPr>
            <w:tcW w:w="9910" w:type="dxa"/>
            <w:gridSpan w:val="10"/>
            <w:tcBorders>
              <w:bottom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7"/>
              </w:rPr>
              <w:t>（2023年度）</w:t>
            </w:r>
          </w:p>
        </w:tc>
      </w:tr>
      <w:tr>
        <w:tblPrEx>
          <w:tblCellMar>
            <w:top w:w="0" w:type="dxa"/>
            <w:left w:w="20" w:type="dxa"/>
            <w:bottom w:w="0" w:type="dxa"/>
            <w:right w:w="20" w:type="dxa"/>
          </w:tblCellMar>
        </w:tblPrEx>
        <w:trPr>
          <w:trHeight w:val="422" w:hRule="exact"/>
          <w:jc w:val="center"/>
        </w:trPr>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项目名称</w:t>
            </w:r>
          </w:p>
        </w:tc>
        <w:tc>
          <w:tcPr>
            <w:tcW w:w="79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7"/>
              </w:rPr>
              <w:t>“科技强检”建设与应用经费</w:t>
            </w:r>
          </w:p>
        </w:tc>
      </w:tr>
      <w:tr>
        <w:tblPrEx>
          <w:tblCellMar>
            <w:top w:w="0" w:type="dxa"/>
            <w:left w:w="20" w:type="dxa"/>
            <w:bottom w:w="0" w:type="dxa"/>
            <w:right w:w="20" w:type="dxa"/>
          </w:tblCellMar>
        </w:tblPrEx>
        <w:trPr>
          <w:trHeight w:val="422" w:hRule="exact"/>
          <w:jc w:val="center"/>
        </w:trPr>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主管部门</w:t>
            </w:r>
          </w:p>
        </w:tc>
        <w:tc>
          <w:tcPr>
            <w:tcW w:w="39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7"/>
              </w:rPr>
              <w:t>330-县人民检察院</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预算单位</w:t>
            </w:r>
          </w:p>
        </w:tc>
        <w:tc>
          <w:tcPr>
            <w:tcW w:w="2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Times New Roman" w:hAnsi="Times New Roman" w:eastAsia="Times New Roman" w:cs="Times New Roman"/>
                <w:b w:val="0"/>
                <w:i w:val="0"/>
                <w:color w:val="000000"/>
                <w:sz w:val="15"/>
              </w:rPr>
              <w:t>330001-庆元县人民检察院</w:t>
            </w:r>
          </w:p>
        </w:tc>
      </w:tr>
      <w:tr>
        <w:tblPrEx>
          <w:tblCellMar>
            <w:top w:w="0" w:type="dxa"/>
            <w:left w:w="20" w:type="dxa"/>
            <w:bottom w:w="0" w:type="dxa"/>
            <w:right w:w="20" w:type="dxa"/>
          </w:tblCellMar>
        </w:tblPrEx>
        <w:trPr>
          <w:trHeight w:val="422" w:hRule="exact"/>
          <w:jc w:val="center"/>
        </w:trPr>
        <w:tc>
          <w:tcPr>
            <w:tcW w:w="19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项目资金</w:t>
            </w:r>
          </w:p>
          <w:p>
            <w:pPr>
              <w:snapToGrid w:val="0"/>
              <w:spacing w:before="0" w:beforeAutospacing="0" w:after="0" w:afterAutospacing="0" w:line="240" w:lineRule="auto"/>
              <w:jc w:val="center"/>
            </w:pPr>
            <w:r>
              <w:rPr>
                <w:rFonts w:ascii="宋体" w:hAnsi="宋体" w:eastAsia="宋体" w:cs="宋体"/>
                <w:b w:val="0"/>
                <w:i w:val="0"/>
                <w:color w:val="000000"/>
                <w:sz w:val="15"/>
              </w:rPr>
              <w:t>（万元）</w:t>
            </w:r>
          </w:p>
        </w:tc>
        <w:tc>
          <w:tcPr>
            <w:tcW w:w="19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7"/>
              </w:rPr>
              <w:t>资金来源</w:t>
            </w:r>
          </w:p>
        </w:tc>
        <w:tc>
          <w:tcPr>
            <w:tcW w:w="19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年初预算数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全年预算数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全年执行数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全年执行数(其他)</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执行率</w:t>
            </w:r>
          </w:p>
        </w:tc>
      </w:tr>
      <w:tr>
        <w:tblPrEx>
          <w:tblCellMar>
            <w:top w:w="0" w:type="dxa"/>
            <w:left w:w="20" w:type="dxa"/>
            <w:bottom w:w="0" w:type="dxa"/>
            <w:right w:w="20" w:type="dxa"/>
          </w:tblCellMar>
        </w:tblPrEx>
        <w:trPr>
          <w:trHeight w:val="422" w:hRule="exact"/>
          <w:jc w:val="center"/>
        </w:trPr>
        <w:tc>
          <w:tcPr>
            <w:tcW w:w="1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1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（A）</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（B）</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（B/A）</w:t>
            </w:r>
          </w:p>
        </w:tc>
      </w:tr>
      <w:tr>
        <w:tblPrEx>
          <w:tblCellMar>
            <w:top w:w="0" w:type="dxa"/>
            <w:left w:w="20" w:type="dxa"/>
            <w:bottom w:w="0" w:type="dxa"/>
            <w:right w:w="20" w:type="dxa"/>
          </w:tblCellMar>
        </w:tblPrEx>
        <w:trPr>
          <w:trHeight w:val="422" w:hRule="exact"/>
          <w:jc w:val="center"/>
        </w:trPr>
        <w:tc>
          <w:tcPr>
            <w:tcW w:w="1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5"/>
              </w:rPr>
              <w:t>年度资金总额</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30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30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100.00%</w:t>
            </w:r>
          </w:p>
        </w:tc>
      </w:tr>
      <w:tr>
        <w:tblPrEx>
          <w:tblCellMar>
            <w:top w:w="0" w:type="dxa"/>
            <w:left w:w="20" w:type="dxa"/>
            <w:bottom w:w="0" w:type="dxa"/>
            <w:right w:w="20" w:type="dxa"/>
          </w:tblCellMar>
        </w:tblPrEx>
        <w:trPr>
          <w:trHeight w:val="422" w:hRule="exact"/>
          <w:jc w:val="center"/>
        </w:trPr>
        <w:tc>
          <w:tcPr>
            <w:tcW w:w="1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5"/>
              </w:rPr>
              <w:t>一般公共预算资金</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30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30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100.00%</w:t>
            </w:r>
          </w:p>
        </w:tc>
      </w:tr>
      <w:tr>
        <w:tblPrEx>
          <w:tblCellMar>
            <w:top w:w="0" w:type="dxa"/>
            <w:left w:w="20" w:type="dxa"/>
            <w:bottom w:w="0" w:type="dxa"/>
            <w:right w:w="20" w:type="dxa"/>
          </w:tblCellMar>
        </w:tblPrEx>
        <w:trPr>
          <w:trHeight w:val="422" w:hRule="exact"/>
          <w:jc w:val="center"/>
        </w:trPr>
        <w:tc>
          <w:tcPr>
            <w:tcW w:w="19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年度总体目标</w:t>
            </w:r>
          </w:p>
        </w:tc>
        <w:tc>
          <w:tcPr>
            <w:tcW w:w="396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预期目标</w:t>
            </w:r>
          </w:p>
        </w:tc>
        <w:tc>
          <w:tcPr>
            <w:tcW w:w="396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实际完成情况</w:t>
            </w:r>
          </w:p>
        </w:tc>
      </w:tr>
      <w:tr>
        <w:tblPrEx>
          <w:tblCellMar>
            <w:top w:w="0" w:type="dxa"/>
            <w:left w:w="20" w:type="dxa"/>
            <w:bottom w:w="0" w:type="dxa"/>
            <w:right w:w="20" w:type="dxa"/>
          </w:tblCellMar>
        </w:tblPrEx>
        <w:trPr>
          <w:trHeight w:val="422" w:hRule="exact"/>
          <w:jc w:val="center"/>
        </w:trPr>
        <w:tc>
          <w:tcPr>
            <w:tcW w:w="1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96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96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422" w:hRule="exact"/>
          <w:jc w:val="center"/>
        </w:trPr>
        <w:tc>
          <w:tcPr>
            <w:tcW w:w="1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9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5"/>
              </w:rPr>
              <w:t>办案效率提高50％</w:t>
            </w:r>
          </w:p>
        </w:tc>
        <w:tc>
          <w:tcPr>
            <w:tcW w:w="39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5"/>
              </w:rPr>
              <w:t>打造业务数据“智汇”中心，通过对接统一业务系统，实时追踪分析各条线数据情况，根据省检察院绩效考核办法，对各基层检察院各业务条线的考核数据进行智能计分评价，目前该软件已在浙江检察APP线上运行，为基层检察院和部门各条线掌握业务工作情况，为领导决策提供参考。</w:t>
            </w:r>
          </w:p>
        </w:tc>
      </w:tr>
      <w:tr>
        <w:tblPrEx>
          <w:tblCellMar>
            <w:top w:w="0" w:type="dxa"/>
            <w:left w:w="20" w:type="dxa"/>
            <w:bottom w:w="0" w:type="dxa"/>
            <w:right w:w="20" w:type="dxa"/>
          </w:tblCellMar>
        </w:tblPrEx>
        <w:trPr>
          <w:trHeight w:val="422" w:hRule="exact"/>
          <w:jc w:val="center"/>
        </w:trPr>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目标偏离原因分析</w:t>
            </w:r>
          </w:p>
        </w:tc>
        <w:tc>
          <w:tcPr>
            <w:tcW w:w="79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5"/>
              </w:rPr>
              <w:t>无</w:t>
            </w:r>
          </w:p>
        </w:tc>
      </w:tr>
      <w:tr>
        <w:tblPrEx>
          <w:tblCellMar>
            <w:top w:w="0" w:type="dxa"/>
            <w:left w:w="20" w:type="dxa"/>
            <w:bottom w:w="0" w:type="dxa"/>
            <w:right w:w="20" w:type="dxa"/>
          </w:tblCellMar>
        </w:tblPrEx>
        <w:trPr>
          <w:trHeight w:val="422" w:hRule="exact"/>
          <w:jc w:val="center"/>
        </w:trPr>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整改措施及建议</w:t>
            </w:r>
          </w:p>
        </w:tc>
        <w:tc>
          <w:tcPr>
            <w:tcW w:w="79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5"/>
              </w:rPr>
              <w:t>无</w:t>
            </w:r>
          </w:p>
        </w:tc>
      </w:tr>
      <w:tr>
        <w:tblPrEx>
          <w:tblCellMar>
            <w:top w:w="0" w:type="dxa"/>
            <w:left w:w="20" w:type="dxa"/>
            <w:bottom w:w="0" w:type="dxa"/>
            <w:right w:w="20" w:type="dxa"/>
          </w:tblCellMar>
        </w:tblPrEx>
        <w:trPr>
          <w:trHeight w:val="422" w:hRule="exact"/>
          <w:jc w:val="center"/>
        </w:trPr>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其他需说明的问题</w:t>
            </w:r>
          </w:p>
        </w:tc>
        <w:tc>
          <w:tcPr>
            <w:tcW w:w="79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5"/>
              </w:rPr>
              <w:t>无</w:t>
            </w:r>
          </w:p>
        </w:tc>
      </w:tr>
      <w:tr>
        <w:tblPrEx>
          <w:tblCellMar>
            <w:top w:w="0" w:type="dxa"/>
            <w:left w:w="20" w:type="dxa"/>
            <w:bottom w:w="0" w:type="dxa"/>
            <w:right w:w="20" w:type="dxa"/>
          </w:tblCellMar>
        </w:tblPrEx>
        <w:trPr>
          <w:trHeight w:val="422" w:hRule="exact"/>
          <w:jc w:val="center"/>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i w:val="0"/>
                <w:color w:val="000000"/>
                <w:sz w:val="15"/>
              </w:rPr>
              <w:t>绩效指标</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i w:val="0"/>
                <w:color w:val="000000"/>
                <w:sz w:val="15"/>
              </w:rPr>
              <w:t>一级指标</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i w:val="0"/>
                <w:color w:val="000000"/>
                <w:sz w:val="15"/>
              </w:rPr>
              <w:t>二级指标</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i w:val="0"/>
                <w:color w:val="000000"/>
                <w:sz w:val="15"/>
              </w:rPr>
              <w:t>三级指标</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i w:val="0"/>
                <w:color w:val="000000"/>
                <w:sz w:val="15"/>
              </w:rPr>
              <w:t>年度指标值</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i w:val="0"/>
                <w:color w:val="000000"/>
                <w:sz w:val="15"/>
              </w:rPr>
              <w:t>实际完成值</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i w:val="0"/>
                <w:color w:val="000000"/>
                <w:sz w:val="15"/>
              </w:rPr>
              <w:t>权重</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i w:val="0"/>
                <w:color w:val="000000"/>
                <w:sz w:val="15"/>
              </w:rPr>
              <w:t>得分</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i w:val="0"/>
                <w:color w:val="000000"/>
                <w:sz w:val="15"/>
              </w:rPr>
              <w:t>偏差原因分析及改进措施</w:t>
            </w:r>
          </w:p>
        </w:tc>
      </w:tr>
      <w:tr>
        <w:tblPrEx>
          <w:tblCellMar>
            <w:top w:w="0" w:type="dxa"/>
            <w:left w:w="20" w:type="dxa"/>
            <w:bottom w:w="0" w:type="dxa"/>
            <w:right w:w="20" w:type="dxa"/>
          </w:tblCellMar>
        </w:tblPrEx>
        <w:trPr>
          <w:trHeight w:val="422" w:hRule="exac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产出指标(40.00分)</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数量指标(40.00分)</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Times New Roman" w:hAnsi="Times New Roman" w:eastAsia="Times New Roman" w:cs="Times New Roman"/>
                <w:b w:val="0"/>
                <w:i w:val="0"/>
                <w:color w:val="000000"/>
                <w:sz w:val="15"/>
              </w:rPr>
              <w:t>数据库维护次数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≥50次</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Times New Roman" w:hAnsi="Times New Roman" w:eastAsia="Times New Roman" w:cs="Times New Roman"/>
                <w:b w:val="0"/>
                <w:i w:val="0"/>
                <w:color w:val="000000"/>
                <w:sz w:val="15"/>
              </w:rPr>
              <w:t>50次</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10.00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10.00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422" w:hRule="exac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Times New Roman" w:hAnsi="Times New Roman" w:eastAsia="Times New Roman" w:cs="Times New Roman"/>
                <w:b w:val="0"/>
                <w:i w:val="0"/>
                <w:color w:val="000000"/>
                <w:sz w:val="15"/>
              </w:rPr>
              <w:t>线路租用（维护）数量</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≤5条</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Times New Roman" w:hAnsi="Times New Roman" w:eastAsia="Times New Roman" w:cs="Times New Roman"/>
                <w:b w:val="0"/>
                <w:i w:val="0"/>
                <w:color w:val="000000"/>
                <w:sz w:val="15"/>
              </w:rPr>
              <w:t>5条</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10.00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10.00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422" w:hRule="exac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Times New Roman" w:hAnsi="Times New Roman" w:eastAsia="Times New Roman" w:cs="Times New Roman"/>
                <w:b w:val="0"/>
                <w:i w:val="0"/>
                <w:color w:val="000000"/>
                <w:sz w:val="15"/>
              </w:rPr>
              <w:t>基本系统维护次数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≥20次/月（年、季）</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Times New Roman" w:hAnsi="Times New Roman" w:eastAsia="Times New Roman" w:cs="Times New Roman"/>
                <w:b w:val="0"/>
                <w:i w:val="0"/>
                <w:color w:val="000000"/>
                <w:sz w:val="15"/>
              </w:rPr>
              <w:t>20次/月（年、季）</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10.00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10.00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422" w:hRule="exac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Times New Roman" w:hAnsi="Times New Roman" w:eastAsia="Times New Roman" w:cs="Times New Roman"/>
                <w:b w:val="0"/>
                <w:i w:val="0"/>
                <w:color w:val="000000"/>
                <w:sz w:val="15"/>
              </w:rPr>
              <w:t>机柜（机房）租用数量</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≤2个/间</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Times New Roman" w:hAnsi="Times New Roman" w:eastAsia="Times New Roman" w:cs="Times New Roman"/>
                <w:b w:val="0"/>
                <w:i w:val="0"/>
                <w:color w:val="000000"/>
                <w:sz w:val="15"/>
              </w:rPr>
              <w:t>2个/间</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10.00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10.00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422" w:hRule="exac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质量指标(0分)</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422" w:hRule="exac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时效指标(0分)</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422" w:hRule="exac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成本指标(0分)</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422" w:hRule="exac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效益指标(20.00分)</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经济效益(0分)</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422" w:hRule="exac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社会效益(10.00分)</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Times New Roman" w:hAnsi="Times New Roman" w:eastAsia="Times New Roman" w:cs="Times New Roman"/>
                <w:b w:val="0"/>
                <w:i w:val="0"/>
                <w:color w:val="000000"/>
                <w:sz w:val="15"/>
              </w:rPr>
              <w:t>数据共享率</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≥100%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Times New Roman" w:hAnsi="Times New Roman" w:eastAsia="Times New Roman" w:cs="Times New Roman"/>
                <w:b w:val="0"/>
                <w:i w:val="0"/>
                <w:color w:val="000000"/>
                <w:sz w:val="15"/>
              </w:rPr>
              <w:t>100%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10.00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10.00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422" w:hRule="exac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生态效益(0分)</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422" w:hRule="exac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可持续影响(10.00分)</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Times New Roman" w:hAnsi="Times New Roman" w:eastAsia="Times New Roman" w:cs="Times New Roman"/>
                <w:b w:val="0"/>
                <w:i w:val="0"/>
                <w:color w:val="000000"/>
                <w:sz w:val="15"/>
              </w:rPr>
              <w:t>系统正常使用年限</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≥3年</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Times New Roman" w:hAnsi="Times New Roman" w:eastAsia="Times New Roman" w:cs="Times New Roman"/>
                <w:b w:val="0"/>
                <w:i w:val="0"/>
                <w:color w:val="000000"/>
                <w:sz w:val="15"/>
              </w:rPr>
              <w:t>3年</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10.00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10.00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422" w:hRule="exac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满意度指标(40.00分)</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服务对象满意度(40.00分)</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Times New Roman" w:hAnsi="Times New Roman" w:eastAsia="Times New Roman" w:cs="Times New Roman"/>
                <w:b w:val="0"/>
                <w:i w:val="0"/>
                <w:color w:val="000000"/>
                <w:sz w:val="15"/>
              </w:rPr>
              <w:t>服务对象满意度</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≥100%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Times New Roman" w:hAnsi="Times New Roman" w:eastAsia="Times New Roman" w:cs="Times New Roman"/>
                <w:b w:val="0"/>
                <w:i w:val="0"/>
                <w:color w:val="000000"/>
                <w:sz w:val="15"/>
              </w:rPr>
              <w:t>100%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40.00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40.00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422" w:hRule="exact"/>
          <w:jc w:val="center"/>
        </w:trPr>
        <w:tc>
          <w:tcPr>
            <w:tcW w:w="693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i w:val="0"/>
                <w:color w:val="000000"/>
                <w:sz w:val="17"/>
              </w:rPr>
              <w:t>总  分</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100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5"/>
              </w:rPr>
              <w:t>100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201" w:hRule="exact"/>
          <w:jc w:val="center"/>
        </w:trPr>
        <w:tc>
          <w:tcPr>
            <w:tcW w:w="2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自评结论</w:t>
            </w:r>
          </w:p>
        </w:tc>
        <w:tc>
          <w:tcPr>
            <w:tcW w:w="39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优</w:t>
            </w:r>
          </w:p>
        </w:tc>
        <w:tc>
          <w:tcPr>
            <w:tcW w:w="2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9"/>
              </w:rPr>
              <w:t>总分高于90分（含）的结论为“优”，90～80分（含）为“良”，80～60分（含）为“中”，低于60分为“差”。</w:t>
            </w:r>
          </w:p>
        </w:tc>
      </w:tr>
    </w:tbl>
    <w:p>
      <w:pPr>
        <w:sectPr>
          <w:pgSz w:w="11907" w:h="16839"/>
          <w:pgMar w:top="400" w:right="1000" w:bottom="400" w:left="1000" w:header="720" w:footer="720" w:gutter="0"/>
        </w:sectPr>
      </w:pPr>
    </w:p>
    <w:p>
      <w:pPr>
        <w:spacing w:beforeLines="0" w:afterLines="0" w:line="600" w:lineRule="exact"/>
        <w:rPr>
          <w:rFonts w:hint="eastAsia" w:ascii="仿宋" w:hAnsi="仿宋" w:eastAsia="仿宋" w:cs="仿宋"/>
          <w:kern w:val="2"/>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kern w:val="2"/>
          <w:sz w:val="32"/>
          <w:szCs w:val="32"/>
          <w:highlight w:val="none"/>
          <w:lang w:val="en-US" w:eastAsia="zh-CN"/>
        </w:rPr>
        <w:t>  法治教育宣传经费项目绩效自评综述：根据年初设定的绩效目标，项目自评得分100分，自评结论为“优”。项目全年预算数为15万元，执行数为15万元，完成预算的100%。项目绩效目标完成情况：一是法治宣传册发放达到2000余册；二是宣传场次达到20次/场，受益人员达10000人/次。发现的问题及原因：无。</w:t>
      </w:r>
    </w:p>
    <w:tbl>
      <w:tblPr>
        <w:tblStyle w:val="10"/>
        <w:tblW w:w="0" w:type="auto"/>
        <w:jc w:val="center"/>
        <w:tblLayout w:type="fixed"/>
        <w:tblCellMar>
          <w:top w:w="0" w:type="dxa"/>
          <w:left w:w="20" w:type="dxa"/>
          <w:bottom w:w="0" w:type="dxa"/>
          <w:right w:w="20" w:type="dxa"/>
        </w:tblCellMar>
      </w:tblPr>
      <w:tblGrid>
        <w:gridCol w:w="991"/>
        <w:gridCol w:w="991"/>
        <w:gridCol w:w="991"/>
        <w:gridCol w:w="991"/>
        <w:gridCol w:w="991"/>
        <w:gridCol w:w="991"/>
        <w:gridCol w:w="991"/>
        <w:gridCol w:w="991"/>
        <w:gridCol w:w="991"/>
        <w:gridCol w:w="991"/>
      </w:tblGrid>
      <w:tr>
        <w:tblPrEx>
          <w:tblCellMar>
            <w:top w:w="0" w:type="dxa"/>
            <w:left w:w="20" w:type="dxa"/>
            <w:bottom w:w="0" w:type="dxa"/>
            <w:right w:w="20" w:type="dxa"/>
          </w:tblCellMar>
        </w:tblPrEx>
        <w:trPr>
          <w:trHeight w:val="409" w:hRule="exact"/>
          <w:jc w:val="center"/>
        </w:trPr>
        <w:tc>
          <w:tcPr>
            <w:tcW w:w="9910" w:type="dxa"/>
            <w:gridSpan w:val="10"/>
            <w:shd w:val="clear" w:color="auto" w:fill="auto"/>
            <w:vAlign w:val="center"/>
          </w:tcPr>
          <w:p>
            <w:pPr>
              <w:snapToGrid w:val="0"/>
              <w:spacing w:before="0" w:beforeAutospacing="0" w:after="0" w:afterAutospacing="0" w:line="240" w:lineRule="auto"/>
              <w:jc w:val="center"/>
            </w:pPr>
            <w:r>
              <w:rPr>
                <w:rFonts w:ascii="方正小标宋简体" w:hAnsi="方正小标宋简体" w:eastAsia="方正小标宋简体" w:cs="方正小标宋简体"/>
                <w:b w:val="0"/>
                <w:i w:val="0"/>
                <w:color w:val="000000"/>
                <w:sz w:val="31"/>
              </w:rPr>
              <w:t>项目支出绩效自评表</w:t>
            </w:r>
          </w:p>
        </w:tc>
      </w:tr>
      <w:tr>
        <w:tblPrEx>
          <w:tblCellMar>
            <w:top w:w="0" w:type="dxa"/>
            <w:left w:w="20" w:type="dxa"/>
            <w:bottom w:w="0" w:type="dxa"/>
            <w:right w:w="20" w:type="dxa"/>
          </w:tblCellMar>
        </w:tblPrEx>
        <w:trPr>
          <w:trHeight w:val="230" w:hRule="exact"/>
          <w:jc w:val="center"/>
        </w:trPr>
        <w:tc>
          <w:tcPr>
            <w:tcW w:w="9910" w:type="dxa"/>
            <w:gridSpan w:val="10"/>
            <w:tcBorders>
              <w:bottom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7"/>
              </w:rPr>
              <w:t>（2023年度）</w:t>
            </w:r>
          </w:p>
        </w:tc>
      </w:tr>
      <w:tr>
        <w:tblPrEx>
          <w:tblCellMar>
            <w:top w:w="0" w:type="dxa"/>
            <w:left w:w="20" w:type="dxa"/>
            <w:bottom w:w="0" w:type="dxa"/>
            <w:right w:w="20" w:type="dxa"/>
          </w:tblCellMar>
        </w:tblPrEx>
        <w:trPr>
          <w:trHeight w:val="460" w:hRule="exact"/>
          <w:jc w:val="center"/>
        </w:trPr>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项目名称</w:t>
            </w:r>
          </w:p>
        </w:tc>
        <w:tc>
          <w:tcPr>
            <w:tcW w:w="79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7"/>
              </w:rPr>
              <w:t>法治教育宣传经费</w:t>
            </w:r>
          </w:p>
        </w:tc>
      </w:tr>
      <w:tr>
        <w:tblPrEx>
          <w:tblCellMar>
            <w:top w:w="0" w:type="dxa"/>
            <w:left w:w="20" w:type="dxa"/>
            <w:bottom w:w="0" w:type="dxa"/>
            <w:right w:w="20" w:type="dxa"/>
          </w:tblCellMar>
        </w:tblPrEx>
        <w:trPr>
          <w:trHeight w:val="460" w:hRule="exact"/>
          <w:jc w:val="center"/>
        </w:trPr>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主管部门</w:t>
            </w:r>
          </w:p>
        </w:tc>
        <w:tc>
          <w:tcPr>
            <w:tcW w:w="39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7"/>
              </w:rPr>
              <w:t>330-县人民检察院</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预算单位</w:t>
            </w:r>
          </w:p>
        </w:tc>
        <w:tc>
          <w:tcPr>
            <w:tcW w:w="2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Times New Roman" w:hAnsi="Times New Roman" w:eastAsia="Times New Roman" w:cs="Times New Roman"/>
                <w:b w:val="0"/>
                <w:i w:val="0"/>
                <w:color w:val="000000"/>
                <w:sz w:val="15"/>
              </w:rPr>
              <w:t>330001-庆元县人民检察院</w:t>
            </w:r>
          </w:p>
        </w:tc>
      </w:tr>
      <w:tr>
        <w:tblPrEx>
          <w:tblCellMar>
            <w:top w:w="0" w:type="dxa"/>
            <w:left w:w="20" w:type="dxa"/>
            <w:bottom w:w="0" w:type="dxa"/>
            <w:right w:w="20" w:type="dxa"/>
          </w:tblCellMar>
        </w:tblPrEx>
        <w:trPr>
          <w:trHeight w:val="460" w:hRule="exact"/>
          <w:jc w:val="center"/>
        </w:trPr>
        <w:tc>
          <w:tcPr>
            <w:tcW w:w="19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项目资金</w:t>
            </w:r>
          </w:p>
          <w:p>
            <w:pPr>
              <w:snapToGrid w:val="0"/>
              <w:spacing w:before="0" w:beforeAutospacing="0" w:after="0" w:afterAutospacing="0" w:line="240" w:lineRule="auto"/>
              <w:jc w:val="center"/>
            </w:pPr>
            <w:r>
              <w:rPr>
                <w:rFonts w:ascii="宋体" w:hAnsi="宋体" w:eastAsia="宋体" w:cs="宋体"/>
                <w:b w:val="0"/>
                <w:i w:val="0"/>
                <w:color w:val="000000"/>
                <w:sz w:val="15"/>
              </w:rPr>
              <w:t>（万元）</w:t>
            </w:r>
          </w:p>
        </w:tc>
        <w:tc>
          <w:tcPr>
            <w:tcW w:w="19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Calibri" w:hAnsi="Calibri" w:eastAsia="Calibri" w:cs="Calibri"/>
                <w:b w:val="0"/>
                <w:i w:val="0"/>
                <w:color w:val="000000"/>
                <w:sz w:val="17"/>
              </w:rPr>
              <w:t>资金来源</w:t>
            </w:r>
          </w:p>
        </w:tc>
        <w:tc>
          <w:tcPr>
            <w:tcW w:w="19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年初预算数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全年预算数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全年执行数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全年执行数(其他)</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执行率</w:t>
            </w:r>
          </w:p>
        </w:tc>
      </w:tr>
      <w:tr>
        <w:tblPrEx>
          <w:tblCellMar>
            <w:top w:w="0" w:type="dxa"/>
            <w:left w:w="20" w:type="dxa"/>
            <w:bottom w:w="0" w:type="dxa"/>
            <w:right w:w="20" w:type="dxa"/>
          </w:tblCellMar>
        </w:tblPrEx>
        <w:trPr>
          <w:trHeight w:val="460" w:hRule="exact"/>
          <w:jc w:val="center"/>
        </w:trPr>
        <w:tc>
          <w:tcPr>
            <w:tcW w:w="1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1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（A）</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（B）</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（B/A）</w:t>
            </w:r>
          </w:p>
        </w:tc>
      </w:tr>
      <w:tr>
        <w:tblPrEx>
          <w:tblCellMar>
            <w:top w:w="0" w:type="dxa"/>
            <w:left w:w="20" w:type="dxa"/>
            <w:bottom w:w="0" w:type="dxa"/>
            <w:right w:w="20" w:type="dxa"/>
          </w:tblCellMar>
        </w:tblPrEx>
        <w:trPr>
          <w:trHeight w:val="460" w:hRule="exact"/>
          <w:jc w:val="center"/>
        </w:trPr>
        <w:tc>
          <w:tcPr>
            <w:tcW w:w="1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5"/>
              </w:rPr>
              <w:t>年度资金总额</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15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15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100.00%</w:t>
            </w:r>
          </w:p>
        </w:tc>
      </w:tr>
      <w:tr>
        <w:tblPrEx>
          <w:tblCellMar>
            <w:top w:w="0" w:type="dxa"/>
            <w:left w:w="20" w:type="dxa"/>
            <w:bottom w:w="0" w:type="dxa"/>
            <w:right w:w="20" w:type="dxa"/>
          </w:tblCellMar>
        </w:tblPrEx>
        <w:trPr>
          <w:trHeight w:val="460" w:hRule="exact"/>
          <w:jc w:val="center"/>
        </w:trPr>
        <w:tc>
          <w:tcPr>
            <w:tcW w:w="1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5"/>
              </w:rPr>
              <w:t>一般公共预算资金</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15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15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100.00%</w:t>
            </w:r>
          </w:p>
        </w:tc>
      </w:tr>
      <w:tr>
        <w:tblPrEx>
          <w:tblCellMar>
            <w:top w:w="0" w:type="dxa"/>
            <w:left w:w="20" w:type="dxa"/>
            <w:bottom w:w="0" w:type="dxa"/>
            <w:right w:w="20" w:type="dxa"/>
          </w:tblCellMar>
        </w:tblPrEx>
        <w:trPr>
          <w:trHeight w:val="460" w:hRule="exact"/>
          <w:jc w:val="center"/>
        </w:trPr>
        <w:tc>
          <w:tcPr>
            <w:tcW w:w="19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年度总体目标</w:t>
            </w:r>
          </w:p>
        </w:tc>
        <w:tc>
          <w:tcPr>
            <w:tcW w:w="396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预期目标</w:t>
            </w:r>
          </w:p>
        </w:tc>
        <w:tc>
          <w:tcPr>
            <w:tcW w:w="396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实际完成情况</w:t>
            </w:r>
          </w:p>
        </w:tc>
      </w:tr>
      <w:tr>
        <w:tblPrEx>
          <w:tblCellMar>
            <w:top w:w="0" w:type="dxa"/>
            <w:left w:w="20" w:type="dxa"/>
            <w:bottom w:w="0" w:type="dxa"/>
            <w:right w:w="20" w:type="dxa"/>
          </w:tblCellMar>
        </w:tblPrEx>
        <w:trPr>
          <w:trHeight w:val="460" w:hRule="exact"/>
          <w:jc w:val="center"/>
        </w:trPr>
        <w:tc>
          <w:tcPr>
            <w:tcW w:w="1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96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96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460" w:hRule="exact"/>
          <w:jc w:val="center"/>
        </w:trPr>
        <w:tc>
          <w:tcPr>
            <w:tcW w:w="1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39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5"/>
              </w:rPr>
              <w:t>进校园和乡镇推广和认识法制的覆盖率达99％</w:t>
            </w:r>
          </w:p>
        </w:tc>
        <w:tc>
          <w:tcPr>
            <w:tcW w:w="39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5"/>
              </w:rPr>
              <w:t>落实“谁执法谁普法”责任制，通过“203号”法律宣讲团、“廊桥普法”“法治进校园”等普法宣传活动20余场次，各类活动覆盖受众2300余人，筑牢法治屏障。</w:t>
            </w:r>
          </w:p>
        </w:tc>
      </w:tr>
      <w:tr>
        <w:tblPrEx>
          <w:tblCellMar>
            <w:top w:w="0" w:type="dxa"/>
            <w:left w:w="20" w:type="dxa"/>
            <w:bottom w:w="0" w:type="dxa"/>
            <w:right w:w="20" w:type="dxa"/>
          </w:tblCellMar>
        </w:tblPrEx>
        <w:trPr>
          <w:trHeight w:val="460" w:hRule="exact"/>
          <w:jc w:val="center"/>
        </w:trPr>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目标偏离原因分析</w:t>
            </w:r>
          </w:p>
        </w:tc>
        <w:tc>
          <w:tcPr>
            <w:tcW w:w="79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5"/>
              </w:rPr>
              <w:t>无</w:t>
            </w:r>
          </w:p>
        </w:tc>
      </w:tr>
      <w:tr>
        <w:tblPrEx>
          <w:tblCellMar>
            <w:top w:w="0" w:type="dxa"/>
            <w:left w:w="20" w:type="dxa"/>
            <w:bottom w:w="0" w:type="dxa"/>
            <w:right w:w="20" w:type="dxa"/>
          </w:tblCellMar>
        </w:tblPrEx>
        <w:trPr>
          <w:trHeight w:val="460" w:hRule="exact"/>
          <w:jc w:val="center"/>
        </w:trPr>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整改措施及建议</w:t>
            </w:r>
          </w:p>
        </w:tc>
        <w:tc>
          <w:tcPr>
            <w:tcW w:w="79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5"/>
              </w:rPr>
              <w:t>无</w:t>
            </w:r>
          </w:p>
        </w:tc>
      </w:tr>
      <w:tr>
        <w:tblPrEx>
          <w:tblCellMar>
            <w:top w:w="0" w:type="dxa"/>
            <w:left w:w="20" w:type="dxa"/>
            <w:bottom w:w="0" w:type="dxa"/>
            <w:right w:w="20" w:type="dxa"/>
          </w:tblCellMar>
        </w:tblPrEx>
        <w:trPr>
          <w:trHeight w:val="460" w:hRule="exact"/>
          <w:jc w:val="center"/>
        </w:trPr>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其他需说明的问题</w:t>
            </w:r>
          </w:p>
        </w:tc>
        <w:tc>
          <w:tcPr>
            <w:tcW w:w="79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5"/>
              </w:rPr>
              <w:t>无</w:t>
            </w:r>
          </w:p>
        </w:tc>
      </w:tr>
      <w:tr>
        <w:tblPrEx>
          <w:tblCellMar>
            <w:top w:w="0" w:type="dxa"/>
            <w:left w:w="20" w:type="dxa"/>
            <w:bottom w:w="0" w:type="dxa"/>
            <w:right w:w="20" w:type="dxa"/>
          </w:tblCellMar>
        </w:tblPrEx>
        <w:trPr>
          <w:trHeight w:val="460" w:hRule="exact"/>
          <w:jc w:val="center"/>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i w:val="0"/>
                <w:color w:val="000000"/>
                <w:sz w:val="15"/>
              </w:rPr>
              <w:t>绩效指标</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i w:val="0"/>
                <w:color w:val="000000"/>
                <w:sz w:val="15"/>
              </w:rPr>
              <w:t>一级指标</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i w:val="0"/>
                <w:color w:val="000000"/>
                <w:sz w:val="15"/>
              </w:rPr>
              <w:t>二级指标</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i w:val="0"/>
                <w:color w:val="000000"/>
                <w:sz w:val="15"/>
              </w:rPr>
              <w:t>三级指标</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i w:val="0"/>
                <w:color w:val="000000"/>
                <w:sz w:val="15"/>
              </w:rPr>
              <w:t>年度指标值</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i w:val="0"/>
                <w:color w:val="000000"/>
                <w:sz w:val="15"/>
              </w:rPr>
              <w:t>实际完成值</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i w:val="0"/>
                <w:color w:val="000000"/>
                <w:sz w:val="15"/>
              </w:rPr>
              <w:t>权重</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i w:val="0"/>
                <w:color w:val="000000"/>
                <w:sz w:val="15"/>
              </w:rPr>
              <w:t>得分</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i w:val="0"/>
                <w:color w:val="000000"/>
                <w:sz w:val="15"/>
              </w:rPr>
              <w:t>偏差原因分析及改进措施</w:t>
            </w:r>
          </w:p>
        </w:tc>
      </w:tr>
      <w:tr>
        <w:tblPrEx>
          <w:tblCellMar>
            <w:top w:w="0" w:type="dxa"/>
            <w:left w:w="20" w:type="dxa"/>
            <w:bottom w:w="0" w:type="dxa"/>
            <w:right w:w="20" w:type="dxa"/>
          </w:tblCellMar>
        </w:tblPrEx>
        <w:trPr>
          <w:trHeight w:val="460" w:hRule="exac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产出指标(60.00分)</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数量指标(60.00分)</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Times New Roman" w:hAnsi="Times New Roman" w:eastAsia="Times New Roman" w:cs="Times New Roman"/>
                <w:b w:val="0"/>
                <w:i w:val="0"/>
                <w:color w:val="000000"/>
                <w:sz w:val="15"/>
              </w:rPr>
              <w:t>组织宣传次数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≥20次/场</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Times New Roman" w:hAnsi="Times New Roman" w:eastAsia="Times New Roman" w:cs="Times New Roman"/>
                <w:b w:val="0"/>
                <w:i w:val="0"/>
                <w:color w:val="000000"/>
                <w:sz w:val="15"/>
              </w:rPr>
              <w:t>20次/场</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20.00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20.00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460" w:hRule="exac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Times New Roman" w:hAnsi="Times New Roman" w:eastAsia="Times New Roman" w:cs="Times New Roman"/>
                <w:b w:val="0"/>
                <w:i w:val="0"/>
                <w:color w:val="000000"/>
                <w:sz w:val="15"/>
              </w:rPr>
              <w:t>报刊杂志、宣传品发放数量（发放宣传资料数量）</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≥100份（张）</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Times New Roman" w:hAnsi="Times New Roman" w:eastAsia="Times New Roman" w:cs="Times New Roman"/>
                <w:b w:val="0"/>
                <w:i w:val="0"/>
                <w:color w:val="000000"/>
                <w:sz w:val="15"/>
              </w:rPr>
              <w:t>100份（张）</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20.00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20.00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460" w:hRule="exac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Times New Roman" w:hAnsi="Times New Roman" w:eastAsia="Times New Roman" w:cs="Times New Roman"/>
                <w:b w:val="0"/>
                <w:i w:val="0"/>
                <w:color w:val="000000"/>
                <w:sz w:val="15"/>
              </w:rPr>
              <w:t>编印宣传材料数量</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≥2000册</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Times New Roman" w:hAnsi="Times New Roman" w:eastAsia="Times New Roman" w:cs="Times New Roman"/>
                <w:b w:val="0"/>
                <w:i w:val="0"/>
                <w:color w:val="000000"/>
                <w:sz w:val="15"/>
              </w:rPr>
              <w:t>2000册</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20.00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20.00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460" w:hRule="exac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质量指标(0分)</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460" w:hRule="exac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时效指标(0分)</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460" w:hRule="exac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成本指标(0分)</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460" w:hRule="exac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效益指标(20.00分)</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经济效益(0分)</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460" w:hRule="exac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社会效益(20.00分)</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Times New Roman" w:hAnsi="Times New Roman" w:eastAsia="Times New Roman" w:cs="Times New Roman"/>
                <w:b w:val="0"/>
                <w:i w:val="0"/>
                <w:color w:val="000000"/>
                <w:sz w:val="15"/>
              </w:rPr>
              <w:t>宣传知晓度</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≥99%</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Times New Roman" w:hAnsi="Times New Roman" w:eastAsia="Times New Roman" w:cs="Times New Roman"/>
                <w:b w:val="0"/>
                <w:i w:val="0"/>
                <w:color w:val="000000"/>
                <w:sz w:val="15"/>
              </w:rPr>
              <w:t>99%</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10.00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10.00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460" w:hRule="exac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Times New Roman" w:hAnsi="Times New Roman" w:eastAsia="Times New Roman" w:cs="Times New Roman"/>
                <w:b w:val="0"/>
                <w:i w:val="0"/>
                <w:color w:val="000000"/>
                <w:sz w:val="15"/>
              </w:rPr>
              <w:t>接受宣传人次</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≥10000人次</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Times New Roman" w:hAnsi="Times New Roman" w:eastAsia="Times New Roman" w:cs="Times New Roman"/>
                <w:b w:val="0"/>
                <w:i w:val="0"/>
                <w:color w:val="000000"/>
                <w:sz w:val="15"/>
              </w:rPr>
              <w:t>10000人次</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10.00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10.00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460" w:hRule="exac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生态效益(0分)</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460" w:hRule="exac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可持续影响(0分)</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460" w:hRule="exac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满意度指标(20.00分)</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5"/>
              </w:rPr>
              <w:t>服务对象满意度(20.00分)</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Times New Roman" w:hAnsi="Times New Roman" w:eastAsia="Times New Roman" w:cs="Times New Roman"/>
                <w:b w:val="0"/>
                <w:i w:val="0"/>
                <w:color w:val="000000"/>
                <w:sz w:val="15"/>
              </w:rPr>
              <w:t>服务对象满意度</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≥100%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Times New Roman" w:hAnsi="Times New Roman" w:eastAsia="Times New Roman" w:cs="Times New Roman"/>
                <w:b w:val="0"/>
                <w:i w:val="0"/>
                <w:color w:val="000000"/>
                <w:sz w:val="15"/>
              </w:rPr>
              <w:t>100%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20.00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20.00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460" w:hRule="exact"/>
          <w:jc w:val="center"/>
        </w:trPr>
        <w:tc>
          <w:tcPr>
            <w:tcW w:w="693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i w:val="0"/>
                <w:color w:val="000000"/>
                <w:sz w:val="17"/>
              </w:rPr>
              <w:t>总  分</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5"/>
              </w:rPr>
              <w:t>100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5"/>
              </w:rPr>
              <w:t>100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971" w:hRule="exact"/>
          <w:jc w:val="center"/>
        </w:trPr>
        <w:tc>
          <w:tcPr>
            <w:tcW w:w="2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自评结论</w:t>
            </w:r>
          </w:p>
        </w:tc>
        <w:tc>
          <w:tcPr>
            <w:tcW w:w="39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优</w:t>
            </w:r>
          </w:p>
        </w:tc>
        <w:tc>
          <w:tcPr>
            <w:tcW w:w="2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9"/>
              </w:rPr>
              <w:t>总分高于90分（含）的结论为“优”，90～80分（含）为“良”，80～60分（含）为“中”，低于60分为“差”。</w:t>
            </w:r>
          </w:p>
        </w:tc>
      </w:tr>
    </w:tbl>
    <w:p>
      <w:pPr>
        <w:sectPr>
          <w:pgSz w:w="11907" w:h="16839"/>
          <w:pgMar w:top="400" w:right="1000" w:bottom="400" w:left="1000" w:header="720" w:footer="720" w:gutter="0"/>
        </w:sectPr>
      </w:pPr>
    </w:p>
    <w:p>
      <w:pPr>
        <w:numPr>
          <w:ilvl w:val="0"/>
          <w:numId w:val="0"/>
        </w:numPr>
        <w:spacing w:beforeLines="0" w:afterLines="0" w:line="600" w:lineRule="exact"/>
        <w:ind w:firstLine="643" w:firstLineChars="200"/>
        <w:rPr>
          <w:rFonts w:hint="eastAsia" w:ascii="仿宋" w:hAnsi="仿宋" w:eastAsia="仿宋" w:cs="仿宋"/>
          <w:b/>
          <w:color w:val="000000"/>
          <w:sz w:val="32"/>
          <w:szCs w:val="24"/>
          <w:highlight w:val="none"/>
          <w:lang w:val="en-US"/>
        </w:rPr>
      </w:pPr>
      <w:r>
        <w:rPr>
          <w:rFonts w:hint="eastAsia" w:ascii="仿宋" w:hAnsi="仿宋" w:eastAsia="仿宋" w:cs="仿宋"/>
          <w:b/>
          <w:color w:val="000000"/>
          <w:sz w:val="32"/>
          <w:szCs w:val="24"/>
          <w:highlight w:val="none"/>
          <w:lang w:val="en-US" w:eastAsia="zh-CN"/>
        </w:rPr>
        <w:t>3</w:t>
      </w:r>
      <w:r>
        <w:rPr>
          <w:rFonts w:hint="eastAsia" w:ascii="仿宋" w:hAnsi="仿宋" w:eastAsia="仿宋" w:cs="仿宋"/>
          <w:b/>
          <w:color w:val="000000"/>
          <w:sz w:val="32"/>
          <w:szCs w:val="24"/>
          <w:highlight w:val="none"/>
          <w:lang w:val="en-US"/>
        </w:rPr>
        <w:t>.财政评价项目绩效评价结果</w:t>
      </w:r>
    </w:p>
    <w:p>
      <w:pPr>
        <w:spacing w:beforeLines="0" w:afterLines="0" w:line="600" w:lineRule="exact"/>
        <w:rPr>
          <w:rFonts w:hint="eastAsia" w:ascii="仿宋" w:hAnsi="仿宋" w:eastAsia="仿宋" w:cs="仿宋"/>
          <w:b/>
          <w:color w:val="000000"/>
          <w:sz w:val="32"/>
          <w:szCs w:val="24"/>
          <w:highlight w:val="none"/>
          <w:lang w:val="en-US"/>
        </w:rPr>
      </w:pPr>
      <w:r>
        <w:rPr>
          <w:rFonts w:hint="eastAsia" w:ascii="仿宋" w:hAnsi="仿宋" w:eastAsia="仿宋" w:cs="仿宋"/>
          <w:kern w:val="2"/>
          <w:sz w:val="32"/>
          <w:szCs w:val="32"/>
          <w:highlight w:val="none"/>
          <w:lang w:val="en-US" w:eastAsia="zh-CN"/>
        </w:rPr>
        <w:t>无。</w:t>
      </w:r>
    </w:p>
    <w:p>
      <w:pPr>
        <w:numPr>
          <w:ilvl w:val="0"/>
          <w:numId w:val="0"/>
        </w:numPr>
        <w:spacing w:beforeLines="0" w:afterLines="0" w:line="600" w:lineRule="exact"/>
        <w:ind w:left="641" w:leftChars="0"/>
        <w:rPr>
          <w:rFonts w:hint="eastAsia" w:ascii="仿宋" w:hAnsi="仿宋" w:eastAsia="仿宋" w:cs="仿宋"/>
          <w:b/>
          <w:color w:val="000000"/>
          <w:sz w:val="32"/>
          <w:szCs w:val="24"/>
          <w:highlight w:val="none"/>
          <w:lang w:val="en-US"/>
        </w:rPr>
      </w:pPr>
      <w:r>
        <w:rPr>
          <w:rFonts w:hint="eastAsia" w:ascii="仿宋" w:hAnsi="仿宋" w:eastAsia="仿宋" w:cs="仿宋"/>
          <w:b/>
          <w:color w:val="000000"/>
          <w:sz w:val="32"/>
          <w:szCs w:val="24"/>
          <w:highlight w:val="none"/>
          <w:lang w:val="en-US" w:eastAsia="zh-CN"/>
        </w:rPr>
        <w:t>4.</w:t>
      </w:r>
      <w:r>
        <w:rPr>
          <w:rFonts w:hint="eastAsia" w:ascii="仿宋" w:hAnsi="仿宋" w:eastAsia="仿宋" w:cs="仿宋"/>
          <w:b/>
          <w:color w:val="000000"/>
          <w:sz w:val="32"/>
          <w:szCs w:val="24"/>
          <w:highlight w:val="none"/>
          <w:lang w:val="en-US"/>
        </w:rPr>
        <w:t>部门评价项目绩效评价结果</w:t>
      </w:r>
    </w:p>
    <w:p>
      <w:pPr>
        <w:spacing w:beforeLines="0" w:afterLines="0" w:line="600" w:lineRule="exact"/>
        <w:rPr>
          <w:rFonts w:hint="eastAsia" w:ascii="仿宋" w:hAnsi="仿宋" w:eastAsia="仿宋" w:cs="仿宋"/>
          <w:b/>
          <w:color w:val="000000"/>
          <w:sz w:val="32"/>
          <w:szCs w:val="24"/>
          <w:highlight w:val="none"/>
          <w:lang w:val="en-US"/>
        </w:rPr>
      </w:pPr>
      <w:r>
        <w:rPr>
          <w:rFonts w:hint="eastAsia" w:ascii="仿宋" w:hAnsi="仿宋" w:eastAsia="仿宋" w:cs="仿宋"/>
          <w:kern w:val="2"/>
          <w:sz w:val="32"/>
          <w:szCs w:val="32"/>
          <w:highlight w:val="none"/>
          <w:lang w:val="en-US" w:eastAsia="zh-CN"/>
        </w:rPr>
        <w:t>  “省补业务（办案）经费”、结转省补办案(业务)经费、“法治教育宣传经费”及“科技强检”建设与应用经费、省补（业务）装备经费、省补司法救助专项资金、办案补助项目绩效评价报告向社会公开，评价结果均为“优秀”。项目绩效结果分析：强化审判监督，提起再审抗诉案件1件。深入落实认罪认罚从宽制度，适用率为81.99%，确定刑量刑建议采纳率为97.26%，有效促进社会和谐。在严把案件质量前提下推动案件快速审结，刑事检察“案-件比”降为1.17，案件审结率提升至86.67%，平均办案周期缩短6天，实现提速增效的集中效应。检察长、领导班子列席审判委员会7次，共同维护司法公正。充分发挥行政检察在促进诉源治理、助推依法行政的补强功能，争取政府支持，常态化开展府检联席会议，加强与县法院、司法局协作，办理行政生效裁判争议性化解案件5件，其中一起案件被最高检评为“行政检察服务保障浙江高质量发展建设共同富裕示范区”典型案例；办理行政审判执行活动监督案件3件，真正实现案结事了政和。始终牢记作为公共利益代表的职责使命，立案办理46件，其中行政公益诉讼诉前案件35件，民事公益诉讼11件，跨区域公益诉讼检察协作相关做法被最高检《公益诉讼检察工作情况》刊发。聚焦百山祖国家公园、廊桥古建筑等重点公益领域，与县人大共建《人大代表建议与公益诉讼检察建议双向衔接转化工作机制》，将代表建议转化为检察建议。持续关注校园周边食药品安全、未成年人进入网吧等，制发检察建议3份。通过“法律援助+心理疏导+生活救助”多元模式，全年共办理司法救助案件39件，积极争取市委政法委、市检察院联动支持，为涉案困难群众发放救助金24.7万元，不断厚植党执政的政治根基。</w:t>
      </w:r>
    </w:p>
    <w:p>
      <w:pPr>
        <w:keepNext/>
        <w:keepLines/>
        <w:spacing w:beforeLines="0" w:afterLines="0" w:line="600" w:lineRule="exact"/>
        <w:ind w:firstLine="641"/>
        <w:jc w:val="left"/>
        <w:outlineLvl w:val="0"/>
        <w:rPr>
          <w:rFonts w:hint="eastAsia" w:ascii="黑体" w:hAnsi="黑体" w:eastAsia="黑体"/>
          <w:b w:val="0"/>
          <w:bCs/>
          <w:color w:val="000000"/>
          <w:sz w:val="32"/>
          <w:szCs w:val="24"/>
          <w:highlight w:val="none"/>
          <w:lang w:val="en-US"/>
        </w:rPr>
      </w:pPr>
      <w:bookmarkStart w:id="53" w:name="_Toc_1_2_0000000061"/>
      <w:bookmarkStart w:id="54" w:name="_Toc6172"/>
      <w:r>
        <w:rPr>
          <w:rFonts w:hint="eastAsia" w:ascii="黑体" w:hAnsi="宋体" w:eastAsia="黑体" w:cs="黑体"/>
          <w:kern w:val="2"/>
          <w:sz w:val="32"/>
          <w:szCs w:val="32"/>
          <w:lang w:val="en-US" w:eastAsia="zh-CN"/>
        </w:rPr>
        <w:t>四、名词解释</w:t>
      </w:r>
      <w:bookmarkEnd w:id="53"/>
      <w:bookmarkEnd w:id="54"/>
    </w:p>
    <w:p>
      <w:pPr>
        <w:spacing w:beforeLines="0" w:afterLines="0" w:line="600" w:lineRule="exact"/>
        <w:ind w:firstLine="640"/>
        <w:rPr>
          <w:rFonts w:hint="eastAsia" w:ascii="仿宋" w:hAnsi="仿宋" w:eastAsia="仿宋" w:cs="仿宋"/>
          <w:color w:val="000000"/>
          <w:sz w:val="32"/>
          <w:szCs w:val="24"/>
          <w:highlight w:val="none"/>
          <w:lang w:val="zh-CN"/>
        </w:rPr>
      </w:pPr>
      <w:r>
        <w:rPr>
          <w:rFonts w:hint="eastAsia" w:ascii="仿宋" w:hAnsi="仿宋" w:eastAsia="仿宋" w:cs="仿宋"/>
          <w:color w:val="000000"/>
          <w:sz w:val="32"/>
          <w:szCs w:val="24"/>
          <w:highlight w:val="none"/>
          <w:lang w:val="zh-CN"/>
        </w:rPr>
        <w:t>1.财政拨款收入：指本级财政</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zh-CN"/>
        </w:rPr>
        <w:t>当年拨付的财政预算资金，包括一般公共预算财政拨款、政府性基金预算财政拨款和国有资本经营预算财政拨款。</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zh-CN"/>
        </w:rPr>
        <w:t>2.事业收入：指事业</w:t>
      </w:r>
      <w:r>
        <w:rPr>
          <w:rFonts w:hint="eastAsia" w:ascii="仿宋" w:hAnsi="仿宋" w:eastAsia="仿宋" w:cs="仿宋"/>
          <w:color w:val="000000"/>
          <w:sz w:val="32"/>
          <w:szCs w:val="24"/>
          <w:highlight w:val="none"/>
          <w:lang w:val="en-US" w:eastAsia="zh-CN"/>
        </w:rPr>
        <w:t>单位</w:t>
      </w:r>
      <w:r>
        <w:rPr>
          <w:rFonts w:hint="eastAsia" w:ascii="仿宋" w:hAnsi="仿宋" w:eastAsia="仿宋" w:cs="仿宋"/>
          <w:color w:val="000000"/>
          <w:sz w:val="32"/>
          <w:szCs w:val="24"/>
          <w:highlight w:val="none"/>
          <w:lang w:val="zh-CN"/>
        </w:rPr>
        <w:t>开展专业业务活动及辅助活动所取得的收入。</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3.经营收入：指事业</w:t>
      </w:r>
      <w:r>
        <w:rPr>
          <w:rFonts w:hint="eastAsia" w:ascii="仿宋" w:hAnsi="仿宋" w:eastAsia="仿宋" w:cs="仿宋"/>
          <w:color w:val="000000"/>
          <w:sz w:val="32"/>
          <w:szCs w:val="24"/>
          <w:highlight w:val="none"/>
          <w:lang w:val="en-US" w:eastAsia="zh-CN"/>
        </w:rPr>
        <w:t>单位</w:t>
      </w:r>
      <w:r>
        <w:rPr>
          <w:rFonts w:hint="eastAsia" w:ascii="仿宋" w:hAnsi="仿宋" w:eastAsia="仿宋" w:cs="仿宋"/>
          <w:color w:val="000000"/>
          <w:sz w:val="32"/>
          <w:szCs w:val="24"/>
          <w:highlight w:val="none"/>
          <w:lang w:val="en-US"/>
        </w:rPr>
        <w:t>在专业业务活动及辅助活动之外开展非独立核算经营活动取得的收入。</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4.上级补助收入：指事业</w:t>
      </w:r>
      <w:r>
        <w:rPr>
          <w:rFonts w:hint="eastAsia" w:ascii="仿宋" w:hAnsi="仿宋" w:eastAsia="仿宋" w:cs="仿宋"/>
          <w:color w:val="000000"/>
          <w:sz w:val="32"/>
          <w:szCs w:val="24"/>
          <w:highlight w:val="none"/>
          <w:lang w:val="en-US" w:eastAsia="zh-CN"/>
        </w:rPr>
        <w:t>单位</w:t>
      </w:r>
      <w:r>
        <w:rPr>
          <w:rFonts w:hint="eastAsia" w:ascii="仿宋" w:hAnsi="仿宋" w:eastAsia="仿宋" w:cs="仿宋"/>
          <w:color w:val="000000"/>
          <w:sz w:val="32"/>
          <w:szCs w:val="24"/>
          <w:highlight w:val="none"/>
          <w:lang w:val="en-US"/>
        </w:rPr>
        <w:t>从主管部门和上级</w:t>
      </w:r>
      <w:r>
        <w:rPr>
          <w:rFonts w:hint="eastAsia" w:ascii="仿宋" w:hAnsi="仿宋" w:eastAsia="仿宋" w:cs="仿宋"/>
          <w:color w:val="000000"/>
          <w:sz w:val="32"/>
          <w:szCs w:val="24"/>
          <w:highlight w:val="none"/>
          <w:lang w:val="en-US" w:eastAsia="zh-CN"/>
        </w:rPr>
        <w:t>单位</w:t>
      </w:r>
      <w:r>
        <w:rPr>
          <w:rFonts w:hint="eastAsia" w:ascii="仿宋" w:hAnsi="仿宋" w:eastAsia="仿宋" w:cs="仿宋"/>
          <w:color w:val="000000"/>
          <w:sz w:val="32"/>
          <w:szCs w:val="24"/>
          <w:highlight w:val="none"/>
          <w:lang w:val="en-US"/>
        </w:rPr>
        <w:t>取得的非财政补助收入。</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5.附属</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上缴收入：指事业</w:t>
      </w:r>
      <w:r>
        <w:rPr>
          <w:rFonts w:hint="eastAsia" w:ascii="仿宋" w:hAnsi="仿宋" w:eastAsia="仿宋" w:cs="仿宋"/>
          <w:color w:val="000000"/>
          <w:sz w:val="32"/>
          <w:szCs w:val="24"/>
          <w:highlight w:val="none"/>
          <w:lang w:val="en-US" w:eastAsia="zh-CN"/>
        </w:rPr>
        <w:t>单位</w:t>
      </w:r>
      <w:r>
        <w:rPr>
          <w:rFonts w:hint="eastAsia" w:ascii="仿宋" w:hAnsi="仿宋" w:eastAsia="仿宋" w:cs="仿宋"/>
          <w:color w:val="000000"/>
          <w:sz w:val="32"/>
          <w:szCs w:val="24"/>
          <w:highlight w:val="none"/>
          <w:lang w:val="en-US"/>
        </w:rPr>
        <w:t>附属独立核算</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按照有关规定上缴的收入。</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6.其他收入：指预算</w:t>
      </w:r>
      <w:r>
        <w:rPr>
          <w:rFonts w:hint="eastAsia" w:ascii="仿宋" w:hAnsi="仿宋" w:eastAsia="仿宋" w:cs="仿宋"/>
          <w:color w:val="000000"/>
          <w:sz w:val="32"/>
          <w:szCs w:val="24"/>
          <w:highlight w:val="none"/>
          <w:lang w:val="en-US" w:eastAsia="zh-CN"/>
        </w:rPr>
        <w:t>单位</w:t>
      </w:r>
      <w:r>
        <w:rPr>
          <w:rFonts w:hint="eastAsia" w:ascii="仿宋" w:hAnsi="仿宋" w:eastAsia="仿宋" w:cs="仿宋"/>
          <w:color w:val="000000"/>
          <w:sz w:val="32"/>
          <w:szCs w:val="24"/>
          <w:highlight w:val="none"/>
          <w:lang w:val="en-US"/>
        </w:rPr>
        <w:t>在“财政拨款”、“事业收入”、“经营收入”、“上级补助收入”、“附属</w:t>
      </w:r>
      <w:r>
        <w:rPr>
          <w:rFonts w:hint="eastAsia" w:ascii="仿宋" w:hAnsi="仿宋" w:eastAsia="仿宋" w:cs="仿宋"/>
          <w:color w:val="000000"/>
          <w:sz w:val="32"/>
          <w:szCs w:val="24"/>
          <w:highlight w:val="none"/>
          <w:lang w:val="en-US" w:eastAsia="zh-CN"/>
        </w:rPr>
        <w:t>单位</w:t>
      </w:r>
      <w:r>
        <w:rPr>
          <w:rFonts w:hint="eastAsia" w:ascii="仿宋" w:hAnsi="仿宋" w:eastAsia="仿宋" w:cs="仿宋"/>
          <w:color w:val="000000"/>
          <w:sz w:val="32"/>
          <w:szCs w:val="24"/>
          <w:highlight w:val="none"/>
          <w:lang w:val="en-US"/>
        </w:rPr>
        <w:t>上缴收入”等之外取得的各项收入。</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7.使用非财政拨款结余</w:t>
      </w:r>
      <w:r>
        <w:rPr>
          <w:rFonts w:hint="eastAsia" w:ascii="仿宋" w:hAnsi="仿宋" w:eastAsia="仿宋" w:cs="仿宋"/>
          <w:color w:val="000000"/>
          <w:sz w:val="32"/>
          <w:szCs w:val="24"/>
          <w:highlight w:val="none"/>
          <w:lang w:val="en-US" w:eastAsia="zh-CN"/>
        </w:rPr>
        <w:t>（含专用结余）</w:t>
      </w:r>
      <w:r>
        <w:rPr>
          <w:rFonts w:hint="eastAsia" w:ascii="仿宋" w:hAnsi="仿宋" w:eastAsia="仿宋" w:cs="仿宋"/>
          <w:color w:val="000000"/>
          <w:sz w:val="32"/>
          <w:szCs w:val="24"/>
          <w:highlight w:val="none"/>
          <w:lang w:val="en-US"/>
        </w:rPr>
        <w:t>：指事业</w:t>
      </w:r>
      <w:r>
        <w:rPr>
          <w:rFonts w:hint="eastAsia" w:ascii="仿宋" w:hAnsi="仿宋" w:eastAsia="仿宋" w:cs="仿宋"/>
          <w:color w:val="000000"/>
          <w:sz w:val="32"/>
          <w:szCs w:val="24"/>
          <w:highlight w:val="none"/>
          <w:lang w:val="en-US" w:eastAsia="zh-CN"/>
        </w:rPr>
        <w:t>单位按照预算管理要求</w:t>
      </w:r>
      <w:r>
        <w:rPr>
          <w:rFonts w:hint="eastAsia" w:ascii="仿宋" w:hAnsi="仿宋" w:eastAsia="仿宋" w:cs="仿宋"/>
          <w:color w:val="000000"/>
          <w:sz w:val="32"/>
          <w:szCs w:val="24"/>
          <w:highlight w:val="none"/>
          <w:lang w:val="en-US"/>
        </w:rPr>
        <w:t>使用非财政拨款结余弥补收支差额的金额</w:t>
      </w:r>
      <w:r>
        <w:rPr>
          <w:rFonts w:hint="eastAsia" w:ascii="仿宋" w:hAnsi="仿宋" w:eastAsia="仿宋" w:cs="仿宋"/>
          <w:color w:val="000000"/>
          <w:sz w:val="32"/>
          <w:szCs w:val="24"/>
          <w:highlight w:val="none"/>
          <w:lang w:val="en-US" w:eastAsia="zh-CN"/>
        </w:rPr>
        <w:t>，以及使用专用结余安排支出的金额</w:t>
      </w:r>
      <w:r>
        <w:rPr>
          <w:rFonts w:hint="eastAsia" w:ascii="仿宋" w:hAnsi="仿宋" w:eastAsia="仿宋" w:cs="仿宋"/>
          <w:color w:val="000000"/>
          <w:sz w:val="32"/>
          <w:szCs w:val="24"/>
          <w:highlight w:val="none"/>
          <w:lang w:val="en-US"/>
        </w:rPr>
        <w:t>。</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8.年初结转和结余：指预算</w:t>
      </w:r>
      <w:r>
        <w:rPr>
          <w:rFonts w:hint="eastAsia" w:ascii="仿宋" w:hAnsi="仿宋" w:eastAsia="仿宋" w:cs="仿宋"/>
          <w:color w:val="000000"/>
          <w:sz w:val="32"/>
          <w:szCs w:val="24"/>
          <w:highlight w:val="none"/>
          <w:lang w:val="en-US" w:eastAsia="zh-CN"/>
        </w:rPr>
        <w:t>单位</w:t>
      </w:r>
      <w:r>
        <w:rPr>
          <w:rFonts w:hint="eastAsia" w:ascii="仿宋" w:hAnsi="仿宋" w:eastAsia="仿宋" w:cs="仿宋"/>
          <w:color w:val="000000"/>
          <w:sz w:val="32"/>
          <w:szCs w:val="24"/>
          <w:highlight w:val="none"/>
          <w:lang w:val="en-US"/>
        </w:rPr>
        <w:t>以前年度尚未完成、结转到本年仍按原规定用途继续使用的资金。</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9.年末结转和结余：指</w:t>
      </w:r>
      <w:r>
        <w:rPr>
          <w:rFonts w:hint="eastAsia" w:ascii="仿宋" w:hAnsi="仿宋" w:eastAsia="仿宋" w:cs="仿宋"/>
          <w:color w:val="000000"/>
          <w:sz w:val="32"/>
          <w:szCs w:val="24"/>
          <w:highlight w:val="none"/>
          <w:lang w:val="en-US" w:eastAsia="zh-CN"/>
        </w:rPr>
        <w:t>单位</w:t>
      </w:r>
      <w:r>
        <w:rPr>
          <w:rFonts w:hint="eastAsia" w:ascii="仿宋" w:hAnsi="仿宋" w:eastAsia="仿宋" w:cs="仿宋"/>
          <w:color w:val="000000"/>
          <w:sz w:val="32"/>
          <w:szCs w:val="24"/>
          <w:highlight w:val="none"/>
          <w:lang w:val="en-US"/>
        </w:rPr>
        <w:t>按有关规定结转到下年或以后年度继续使用的资金。</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10.基本支出：指预算</w:t>
      </w:r>
      <w:r>
        <w:rPr>
          <w:rFonts w:hint="eastAsia" w:ascii="仿宋" w:hAnsi="仿宋" w:eastAsia="仿宋" w:cs="仿宋"/>
          <w:color w:val="000000"/>
          <w:sz w:val="32"/>
          <w:szCs w:val="24"/>
          <w:highlight w:val="none"/>
          <w:lang w:val="en-US" w:eastAsia="zh-CN"/>
        </w:rPr>
        <w:t>单位</w:t>
      </w:r>
      <w:r>
        <w:rPr>
          <w:rFonts w:hint="eastAsia" w:ascii="仿宋" w:hAnsi="仿宋" w:eastAsia="仿宋" w:cs="仿宋"/>
          <w:color w:val="000000"/>
          <w:sz w:val="32"/>
          <w:szCs w:val="24"/>
          <w:highlight w:val="none"/>
          <w:lang w:val="en-US"/>
        </w:rPr>
        <w:t>为保障其正常运转，完成日常工作任务所发生的支出，包括人员经费支出和日常公用经费支出。</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11.项目支出：指预算</w:t>
      </w:r>
      <w:r>
        <w:rPr>
          <w:rFonts w:hint="eastAsia" w:ascii="仿宋" w:hAnsi="仿宋" w:eastAsia="仿宋" w:cs="仿宋"/>
          <w:color w:val="000000"/>
          <w:sz w:val="32"/>
          <w:szCs w:val="24"/>
          <w:highlight w:val="none"/>
          <w:lang w:val="en-US" w:eastAsia="zh-CN"/>
        </w:rPr>
        <w:t>单位</w:t>
      </w:r>
      <w:r>
        <w:rPr>
          <w:rFonts w:hint="eastAsia" w:ascii="仿宋" w:hAnsi="仿宋" w:eastAsia="仿宋" w:cs="仿宋"/>
          <w:color w:val="000000"/>
          <w:sz w:val="32"/>
          <w:szCs w:val="24"/>
          <w:highlight w:val="none"/>
          <w:lang w:val="en-US"/>
        </w:rPr>
        <w:t>为完成其特定的行政工作任务或事业发展目标所发生的支出。</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12.上缴上级支出：填列事业</w:t>
      </w:r>
      <w:r>
        <w:rPr>
          <w:rFonts w:hint="eastAsia" w:ascii="仿宋" w:hAnsi="仿宋" w:eastAsia="仿宋" w:cs="仿宋"/>
          <w:color w:val="000000"/>
          <w:sz w:val="32"/>
          <w:szCs w:val="24"/>
          <w:highlight w:val="none"/>
          <w:lang w:val="en-US" w:eastAsia="zh-CN"/>
        </w:rPr>
        <w:t>单位</w:t>
      </w:r>
      <w:r>
        <w:rPr>
          <w:rFonts w:hint="eastAsia" w:ascii="仿宋" w:hAnsi="仿宋" w:eastAsia="仿宋" w:cs="仿宋"/>
          <w:color w:val="000000"/>
          <w:sz w:val="32"/>
          <w:szCs w:val="24"/>
          <w:highlight w:val="none"/>
          <w:lang w:val="en-US"/>
        </w:rPr>
        <w:t>按照财政部门和主管部门的规定上缴上级</w:t>
      </w:r>
      <w:r>
        <w:rPr>
          <w:rFonts w:hint="eastAsia" w:ascii="仿宋" w:hAnsi="仿宋" w:eastAsia="仿宋" w:cs="仿宋"/>
          <w:color w:val="000000"/>
          <w:sz w:val="32"/>
          <w:szCs w:val="24"/>
          <w:highlight w:val="none"/>
          <w:lang w:val="en-US" w:eastAsia="zh-CN"/>
        </w:rPr>
        <w:t>单位</w:t>
      </w:r>
      <w:r>
        <w:rPr>
          <w:rFonts w:hint="eastAsia" w:ascii="仿宋" w:hAnsi="仿宋" w:eastAsia="仿宋" w:cs="仿宋"/>
          <w:color w:val="000000"/>
          <w:sz w:val="32"/>
          <w:szCs w:val="24"/>
          <w:highlight w:val="none"/>
          <w:lang w:val="en-US"/>
        </w:rPr>
        <w:t>的支出。</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13.经营支出：指事业</w:t>
      </w:r>
      <w:r>
        <w:rPr>
          <w:rFonts w:hint="eastAsia" w:ascii="仿宋" w:hAnsi="仿宋" w:eastAsia="仿宋" w:cs="仿宋"/>
          <w:color w:val="000000"/>
          <w:sz w:val="32"/>
          <w:szCs w:val="24"/>
          <w:highlight w:val="none"/>
          <w:lang w:val="en-US" w:eastAsia="zh-CN"/>
        </w:rPr>
        <w:t>单位</w:t>
      </w:r>
      <w:r>
        <w:rPr>
          <w:rFonts w:hint="eastAsia" w:ascii="仿宋" w:hAnsi="仿宋" w:eastAsia="仿宋" w:cs="仿宋"/>
          <w:color w:val="000000"/>
          <w:sz w:val="32"/>
          <w:szCs w:val="24"/>
          <w:highlight w:val="none"/>
          <w:lang w:val="en-US"/>
        </w:rPr>
        <w:t>在专业业务活动及其辅助活动之外开展非独立核算经营活动发生的支出。</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14.附属</w:t>
      </w:r>
      <w:r>
        <w:rPr>
          <w:rFonts w:hint="eastAsia" w:ascii="仿宋" w:hAnsi="仿宋" w:eastAsia="仿宋" w:cs="仿宋"/>
          <w:color w:val="000000"/>
          <w:sz w:val="32"/>
          <w:szCs w:val="24"/>
          <w:highlight w:val="none"/>
          <w:lang w:val="en-US" w:eastAsia="zh-CN"/>
        </w:rPr>
        <w:t>部门</w:t>
      </w:r>
      <w:r>
        <w:rPr>
          <w:rFonts w:hint="eastAsia" w:ascii="仿宋" w:hAnsi="仿宋" w:eastAsia="仿宋" w:cs="仿宋"/>
          <w:color w:val="000000"/>
          <w:sz w:val="32"/>
          <w:szCs w:val="24"/>
          <w:highlight w:val="none"/>
          <w:lang w:val="en-US"/>
        </w:rPr>
        <w:t>补助支出：填列事业</w:t>
      </w:r>
      <w:r>
        <w:rPr>
          <w:rFonts w:hint="eastAsia" w:ascii="仿宋" w:hAnsi="仿宋" w:eastAsia="仿宋" w:cs="仿宋"/>
          <w:color w:val="000000"/>
          <w:sz w:val="32"/>
          <w:szCs w:val="24"/>
          <w:highlight w:val="none"/>
          <w:lang w:val="en-US" w:eastAsia="zh-CN"/>
        </w:rPr>
        <w:t>单位</w:t>
      </w:r>
      <w:r>
        <w:rPr>
          <w:rFonts w:hint="eastAsia" w:ascii="仿宋" w:hAnsi="仿宋" w:eastAsia="仿宋" w:cs="仿宋"/>
          <w:color w:val="000000"/>
          <w:sz w:val="32"/>
          <w:szCs w:val="24"/>
          <w:highlight w:val="none"/>
          <w:lang w:val="en-US"/>
        </w:rPr>
        <w:t>用财政补助收入之外的收入对附属</w:t>
      </w:r>
      <w:r>
        <w:rPr>
          <w:rFonts w:hint="eastAsia" w:ascii="仿宋" w:hAnsi="仿宋" w:eastAsia="仿宋" w:cs="仿宋"/>
          <w:color w:val="000000"/>
          <w:sz w:val="32"/>
          <w:szCs w:val="24"/>
          <w:highlight w:val="none"/>
          <w:lang w:val="en-US" w:eastAsia="zh-CN"/>
        </w:rPr>
        <w:t>单位</w:t>
      </w:r>
      <w:r>
        <w:rPr>
          <w:rFonts w:hint="eastAsia" w:ascii="仿宋" w:hAnsi="仿宋" w:eastAsia="仿宋" w:cs="仿宋"/>
          <w:color w:val="000000"/>
          <w:sz w:val="32"/>
          <w:szCs w:val="24"/>
          <w:highlight w:val="none"/>
          <w:lang w:val="en-US"/>
        </w:rPr>
        <w:t>补助发生的支出。</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15.“三公”经费：纳入财政预决算管理的“三公”经费，是指部门用财政拨款安排的因公出国（境）费用、公务用车购置及运行费和公务接待费。其中，因公出国（境）费用反映</w:t>
      </w:r>
      <w:r>
        <w:rPr>
          <w:rFonts w:hint="eastAsia" w:ascii="仿宋" w:hAnsi="仿宋" w:eastAsia="仿宋" w:cs="仿宋"/>
          <w:color w:val="000000"/>
          <w:sz w:val="32"/>
          <w:szCs w:val="24"/>
          <w:highlight w:val="none"/>
          <w:lang w:val="en-US" w:eastAsia="zh-CN"/>
        </w:rPr>
        <w:t>单位</w:t>
      </w:r>
      <w:r>
        <w:rPr>
          <w:rFonts w:hint="eastAsia" w:ascii="仿宋" w:hAnsi="仿宋" w:eastAsia="仿宋" w:cs="仿宋"/>
          <w:color w:val="000000"/>
          <w:sz w:val="32"/>
          <w:szCs w:val="24"/>
          <w:highlight w:val="none"/>
          <w:lang w:val="en-US"/>
        </w:rPr>
        <w:t>公务出国（境）的国际旅费、国外城市间交通费、住宿费、伙食费、培训费、公杂费等支出，不含教学科研人员学术交流；公务用车购置及运行费反映</w:t>
      </w:r>
      <w:r>
        <w:rPr>
          <w:rFonts w:hint="eastAsia" w:ascii="仿宋" w:hAnsi="仿宋" w:eastAsia="仿宋" w:cs="仿宋"/>
          <w:color w:val="000000"/>
          <w:sz w:val="32"/>
          <w:szCs w:val="24"/>
          <w:highlight w:val="none"/>
          <w:lang w:val="en-US" w:eastAsia="zh-CN"/>
        </w:rPr>
        <w:t>单位</w:t>
      </w:r>
      <w:r>
        <w:rPr>
          <w:rFonts w:hint="eastAsia" w:ascii="仿宋" w:hAnsi="仿宋" w:eastAsia="仿宋" w:cs="仿宋"/>
          <w:color w:val="000000"/>
          <w:sz w:val="32"/>
          <w:szCs w:val="24"/>
          <w:highlight w:val="none"/>
          <w:lang w:val="en-US"/>
        </w:rPr>
        <w:t>公务用车车辆购置支出（含车辆购置税）及燃费、维修费、过桥过路费、保险费等支出；公务接待费反映</w:t>
      </w:r>
      <w:r>
        <w:rPr>
          <w:rFonts w:hint="eastAsia" w:ascii="仿宋" w:hAnsi="仿宋" w:eastAsia="仿宋" w:cs="仿宋"/>
          <w:color w:val="000000"/>
          <w:sz w:val="32"/>
          <w:szCs w:val="24"/>
          <w:highlight w:val="none"/>
          <w:lang w:val="en-US" w:eastAsia="zh-CN"/>
        </w:rPr>
        <w:t>单位</w:t>
      </w:r>
      <w:r>
        <w:rPr>
          <w:rFonts w:hint="eastAsia" w:ascii="仿宋" w:hAnsi="仿宋" w:eastAsia="仿宋" w:cs="仿宋"/>
          <w:color w:val="000000"/>
          <w:sz w:val="32"/>
          <w:szCs w:val="24"/>
          <w:highlight w:val="none"/>
          <w:lang w:val="en-US"/>
        </w:rPr>
        <w:t>按规定开支的各类公务接待（含外宾接待）支出。</w:t>
      </w:r>
    </w:p>
    <w:p>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16.机关运行经费：指为保障行政</w:t>
      </w:r>
      <w:r>
        <w:rPr>
          <w:rFonts w:hint="eastAsia" w:ascii="仿宋" w:hAnsi="仿宋" w:eastAsia="仿宋" w:cs="仿宋"/>
          <w:color w:val="000000"/>
          <w:sz w:val="32"/>
          <w:szCs w:val="24"/>
          <w:highlight w:val="none"/>
          <w:lang w:val="en-US" w:eastAsia="zh-CN"/>
        </w:rPr>
        <w:t>单位</w:t>
      </w:r>
      <w:r>
        <w:rPr>
          <w:rFonts w:hint="eastAsia" w:ascii="仿宋" w:hAnsi="仿宋" w:eastAsia="仿宋" w:cs="仿宋"/>
          <w:color w:val="000000"/>
          <w:sz w:val="32"/>
          <w:szCs w:val="24"/>
          <w:highlight w:val="none"/>
          <w:lang w:val="en-US"/>
        </w:rPr>
        <w:t>（含参照公务员法管理的事业</w:t>
      </w:r>
      <w:r>
        <w:rPr>
          <w:rFonts w:hint="eastAsia" w:ascii="仿宋" w:hAnsi="仿宋" w:eastAsia="仿宋" w:cs="仿宋"/>
          <w:color w:val="000000"/>
          <w:sz w:val="32"/>
          <w:szCs w:val="24"/>
          <w:highlight w:val="none"/>
          <w:lang w:val="en-US" w:eastAsia="zh-CN"/>
        </w:rPr>
        <w:t>单位</w:t>
      </w:r>
      <w:r>
        <w:rPr>
          <w:rFonts w:hint="eastAsia" w:ascii="仿宋" w:hAnsi="仿宋" w:eastAsia="仿宋" w:cs="仿宋"/>
          <w:color w:val="000000"/>
          <w:sz w:val="32"/>
          <w:szCs w:val="24"/>
          <w:highlight w:val="none"/>
          <w:lang w:val="en-US"/>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beforeLines="0" w:afterLines="0" w:line="600" w:lineRule="exact"/>
        <w:ind w:firstLine="640" w:firstLineChars="200"/>
        <w:rPr>
          <w:rFonts w:hint="eastAsia" w:ascii="仿宋" w:hAnsi="仿宋" w:eastAsia="仿宋" w:cs="仿宋"/>
          <w:color w:val="000000"/>
          <w:sz w:val="32"/>
          <w:szCs w:val="24"/>
          <w:highlight w:val="none"/>
        </w:rPr>
      </w:pPr>
      <w:r>
        <w:rPr>
          <w:rFonts w:hint="eastAsia" w:ascii="仿宋" w:hAnsi="仿宋" w:eastAsia="仿宋" w:cs="仿宋"/>
          <w:kern w:val="0"/>
          <w:sz w:val="32"/>
          <w:szCs w:val="32"/>
          <w:highlight w:val="none"/>
          <w:lang w:val="en-US" w:eastAsia="zh-CN"/>
        </w:rPr>
        <w:t>17.公共安全支出（类）检察（款）行政运行（项）。指反映行政部门用于检察方面的基本支出。</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18.公共安全支出（类）检察（款）其他检察支出（项）。指反映除上述项目以外用于检察方面的支出。</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19.公共安全支出（类）检察（款）一般行政管理事务（项）。指反映除上述项目以外未单独设置科目的其他用于检察公共安全方面的支出。</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20.公共安全支出（类）司法（款）公共法律服务（项）。指反映司法行政部门用于法律援助、司法鉴定、公证、仲裁等公共法律服务工作的相关支出。</w:t>
      </w:r>
    </w:p>
    <w:p>
      <w:pPr>
        <w:spacing w:beforeLines="0" w:afterLines="0" w:line="600" w:lineRule="exact"/>
        <w:rPr>
          <w:rFonts w:hint="eastAsia" w:ascii="仿宋_GB2312" w:hAnsi="Times New Roman" w:eastAsia="仿宋_GB2312" w:cs="仿宋_GB2312"/>
          <w:kern w:val="2"/>
          <w:sz w:val="32"/>
          <w:szCs w:val="32"/>
          <w:highlight w:val="none"/>
          <w:lang w:val="en-US" w:eastAsia="zh-CN"/>
        </w:rPr>
      </w:pPr>
    </w:p>
    <w:p>
      <w:pPr>
        <w:keepNext/>
        <w:keepLines/>
        <w:spacing w:beforeLines="0" w:afterLines="0" w:line="600" w:lineRule="exact"/>
        <w:ind w:firstLine="641"/>
        <w:jc w:val="left"/>
        <w:outlineLvl w:val="0"/>
        <w:rPr>
          <w:rFonts w:hint="eastAsia" w:ascii="黑体" w:hAnsi="黑体" w:eastAsia="黑体"/>
          <w:b w:val="0"/>
          <w:bCs/>
          <w:color w:val="000000"/>
          <w:sz w:val="32"/>
          <w:szCs w:val="24"/>
          <w:highlight w:val="none"/>
          <w:lang w:val="en-US" w:eastAsia="zh-CN"/>
        </w:rPr>
        <w:sectPr>
          <w:pgSz w:w="11906" w:h="16838"/>
          <w:pgMar w:top="1440" w:right="1800" w:bottom="1440" w:left="1800" w:header="851" w:footer="992" w:gutter="0"/>
          <w:pgNumType w:fmt="decimal"/>
          <w:cols w:space="425" w:num="1"/>
          <w:docGrid w:type="lines" w:linePitch="312" w:charSpace="0"/>
        </w:sectPr>
      </w:pPr>
      <w:bookmarkStart w:id="55" w:name="_Toc439"/>
      <w:bookmarkStart w:id="56" w:name="_Toc_1_2_0000000062"/>
      <w:r>
        <w:rPr>
          <w:rFonts w:hint="eastAsia" w:ascii="黑体" w:hAnsi="宋体" w:eastAsia="黑体" w:cs="黑体"/>
          <w:kern w:val="2"/>
          <w:sz w:val="32"/>
          <w:szCs w:val="32"/>
          <w:lang w:val="en-US" w:eastAsia="zh-CN"/>
        </w:rPr>
        <w:t>五、附件</w:t>
      </w:r>
      <w:bookmarkEnd w:id="55"/>
      <w:bookmarkEnd w:id="56"/>
    </w:p>
    <w:tbl>
      <w:tblPr>
        <w:tblStyle w:val="10"/>
        <w:tblW w:w="0" w:type="auto"/>
        <w:jc w:val="center"/>
        <w:tblLayout w:type="fixed"/>
        <w:tblCellMar>
          <w:top w:w="0" w:type="dxa"/>
          <w:left w:w="20" w:type="dxa"/>
          <w:bottom w:w="0" w:type="dxa"/>
          <w:right w:w="20" w:type="dxa"/>
        </w:tblCellMar>
      </w:tblPr>
      <w:tblGrid>
        <w:gridCol w:w="950"/>
        <w:gridCol w:w="3128"/>
        <w:gridCol w:w="4519"/>
        <w:gridCol w:w="1310"/>
      </w:tblGrid>
      <w:tr>
        <w:tblPrEx>
          <w:tblCellMar>
            <w:top w:w="0" w:type="dxa"/>
            <w:left w:w="20" w:type="dxa"/>
            <w:bottom w:w="0" w:type="dxa"/>
            <w:right w:w="20" w:type="dxa"/>
          </w:tblCellMar>
        </w:tblPrEx>
        <w:trPr>
          <w:trHeight w:val="269" w:hRule="exact"/>
          <w:jc w:val="center"/>
        </w:trPr>
        <w:tc>
          <w:tcPr>
            <w:tcW w:w="950" w:type="dxa"/>
            <w:shd w:val="clear" w:color="auto" w:fill="auto"/>
            <w:vAlign w:val="center"/>
          </w:tcPr>
          <w:p>
            <w:pPr>
              <w:snapToGrid w:val="0"/>
              <w:spacing w:before="0" w:beforeAutospacing="0" w:after="0" w:afterAutospacing="0" w:line="240" w:lineRule="auto"/>
            </w:pPr>
          </w:p>
        </w:tc>
        <w:tc>
          <w:tcPr>
            <w:tcW w:w="3128" w:type="dxa"/>
            <w:shd w:val="clear" w:color="auto" w:fill="auto"/>
            <w:vAlign w:val="center"/>
          </w:tcPr>
          <w:p>
            <w:pPr>
              <w:snapToGrid w:val="0"/>
              <w:spacing w:before="0" w:beforeAutospacing="0" w:after="0" w:afterAutospacing="0" w:line="240" w:lineRule="auto"/>
              <w:jc w:val="left"/>
            </w:pPr>
            <w:r>
              <w:rPr>
                <w:rFonts w:ascii="黑体" w:hAnsi="黑体" w:eastAsia="黑体" w:cs="黑体"/>
                <w:b w:val="0"/>
                <w:i w:val="0"/>
                <w:color w:val="000000"/>
                <w:sz w:val="23"/>
              </w:rPr>
              <w:t>附件</w:t>
            </w:r>
          </w:p>
        </w:tc>
        <w:tc>
          <w:tcPr>
            <w:tcW w:w="4519" w:type="dxa"/>
            <w:shd w:val="clear" w:color="auto" w:fill="auto"/>
            <w:vAlign w:val="center"/>
          </w:tcPr>
          <w:p>
            <w:pPr>
              <w:snapToGrid w:val="0"/>
              <w:spacing w:before="0" w:beforeAutospacing="0" w:after="0" w:afterAutospacing="0" w:line="240" w:lineRule="auto"/>
            </w:pPr>
          </w:p>
        </w:tc>
        <w:tc>
          <w:tcPr>
            <w:tcW w:w="1310" w:type="dxa"/>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637" w:hRule="exact"/>
          <w:jc w:val="center"/>
        </w:trPr>
        <w:tc>
          <w:tcPr>
            <w:tcW w:w="950" w:type="dxa"/>
            <w:shd w:val="clear" w:color="auto" w:fill="auto"/>
            <w:vAlign w:val="center"/>
          </w:tcPr>
          <w:p>
            <w:pPr>
              <w:snapToGrid w:val="0"/>
              <w:spacing w:before="0" w:beforeAutospacing="0" w:after="0" w:afterAutospacing="0" w:line="240" w:lineRule="auto"/>
            </w:pPr>
          </w:p>
        </w:tc>
        <w:tc>
          <w:tcPr>
            <w:tcW w:w="8957" w:type="dxa"/>
            <w:gridSpan w:val="3"/>
            <w:shd w:val="clear" w:color="auto" w:fill="auto"/>
            <w:vAlign w:val="center"/>
          </w:tcPr>
          <w:p>
            <w:pPr>
              <w:snapToGrid w:val="0"/>
              <w:spacing w:before="0" w:beforeAutospacing="0" w:after="0" w:afterAutospacing="0" w:line="240" w:lineRule="auto"/>
              <w:jc w:val="center"/>
            </w:pPr>
            <w:r>
              <w:rPr>
                <w:rFonts w:ascii="方正小标宋_GBK" w:hAnsi="方正小标宋_GBK" w:eastAsia="方正小标宋_GBK" w:cs="方正小标宋_GBK"/>
                <w:b w:val="0"/>
                <w:i w:val="0"/>
                <w:color w:val="000000"/>
                <w:sz w:val="30"/>
              </w:rPr>
              <w:t>2023年部门项目支出绩效自评结果清单</w:t>
            </w:r>
          </w:p>
        </w:tc>
      </w:tr>
      <w:tr>
        <w:tblPrEx>
          <w:tblCellMar>
            <w:top w:w="0" w:type="dxa"/>
            <w:left w:w="20" w:type="dxa"/>
            <w:bottom w:w="0" w:type="dxa"/>
            <w:right w:w="20" w:type="dxa"/>
          </w:tblCellMar>
        </w:tblPrEx>
        <w:trPr>
          <w:trHeight w:val="354" w:hRule="exact"/>
          <w:jc w:val="center"/>
        </w:trPr>
        <w:tc>
          <w:tcPr>
            <w:tcW w:w="4078" w:type="dxa"/>
            <w:gridSpan w:val="2"/>
            <w:tcBorders>
              <w:bottom w:val="single" w:color="000000" w:sz="4" w:space="0"/>
            </w:tcBorders>
            <w:shd w:val="clear" w:color="auto" w:fill="auto"/>
            <w:vAlign w:val="center"/>
          </w:tcPr>
          <w:p>
            <w:pPr>
              <w:snapToGrid w:val="0"/>
              <w:spacing w:before="0" w:beforeAutospacing="0" w:after="0" w:afterAutospacing="0" w:line="240" w:lineRule="auto"/>
              <w:jc w:val="left"/>
            </w:pPr>
            <w:r>
              <w:rPr>
                <w:rFonts w:ascii="仿宋_GB2312" w:hAnsi="仿宋_GB2312" w:eastAsia="仿宋_GB2312" w:cs="仿宋_GB2312"/>
                <w:b w:val="0"/>
                <w:i w:val="0"/>
                <w:color w:val="000000"/>
                <w:sz w:val="26"/>
              </w:rPr>
              <w:t>庆元县人民检察院</w:t>
            </w:r>
          </w:p>
        </w:tc>
        <w:tc>
          <w:tcPr>
            <w:tcW w:w="4519" w:type="dxa"/>
            <w:tcBorders>
              <w:bottom w:val="single" w:color="000000" w:sz="4" w:space="0"/>
            </w:tcBorders>
            <w:shd w:val="clear" w:color="auto" w:fill="auto"/>
            <w:vAlign w:val="center"/>
          </w:tcPr>
          <w:p>
            <w:pPr>
              <w:snapToGrid w:val="0"/>
              <w:spacing w:before="0" w:beforeAutospacing="0" w:after="0" w:afterAutospacing="0" w:line="240" w:lineRule="auto"/>
            </w:pPr>
          </w:p>
        </w:tc>
        <w:tc>
          <w:tcPr>
            <w:tcW w:w="1310" w:type="dxa"/>
            <w:tcBorders>
              <w:bottom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538" w:hRule="exac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23"/>
              </w:rPr>
              <w:t>序号</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23"/>
              </w:rPr>
              <w:t>预算单位</w:t>
            </w:r>
          </w:p>
        </w:tc>
        <w:tc>
          <w:tcPr>
            <w:tcW w:w="451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23"/>
              </w:rPr>
              <w:t>项目名称</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23"/>
              </w:rPr>
              <w:t>自评结论</w:t>
            </w:r>
          </w:p>
        </w:tc>
      </w:tr>
      <w:tr>
        <w:tblPrEx>
          <w:tblCellMar>
            <w:top w:w="0" w:type="dxa"/>
            <w:left w:w="20" w:type="dxa"/>
            <w:bottom w:w="0" w:type="dxa"/>
            <w:right w:w="20" w:type="dxa"/>
          </w:tblCellMar>
        </w:tblPrEx>
        <w:trPr>
          <w:trHeight w:val="538" w:hRule="exac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right"/>
            </w:pPr>
            <w:r>
              <w:rPr>
                <w:rFonts w:ascii="宋体" w:hAnsi="宋体" w:eastAsia="宋体" w:cs="宋体"/>
                <w:b w:val="0"/>
                <w:i w:val="0"/>
                <w:color w:val="000000"/>
                <w:sz w:val="23"/>
              </w:rPr>
              <w:t>1</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23"/>
              </w:rPr>
              <w:t>庆元县人民检察院</w:t>
            </w:r>
          </w:p>
        </w:tc>
        <w:tc>
          <w:tcPr>
            <w:tcW w:w="451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23"/>
              </w:rPr>
              <w:t>办案补助</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仿宋_GB2312" w:hAnsi="仿宋_GB2312" w:eastAsia="仿宋_GB2312" w:cs="仿宋_GB2312"/>
                <w:b w:val="0"/>
                <w:i w:val="0"/>
                <w:color w:val="000000"/>
                <w:sz w:val="23"/>
              </w:rPr>
              <w:t>优</w:t>
            </w:r>
          </w:p>
        </w:tc>
      </w:tr>
      <w:tr>
        <w:tblPrEx>
          <w:tblCellMar>
            <w:top w:w="0" w:type="dxa"/>
            <w:left w:w="20" w:type="dxa"/>
            <w:bottom w:w="0" w:type="dxa"/>
            <w:right w:w="20" w:type="dxa"/>
          </w:tblCellMar>
        </w:tblPrEx>
        <w:trPr>
          <w:trHeight w:val="538" w:hRule="exac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right"/>
            </w:pPr>
            <w:r>
              <w:rPr>
                <w:rFonts w:ascii="宋体" w:hAnsi="宋体" w:eastAsia="宋体" w:cs="宋体"/>
                <w:b w:val="0"/>
                <w:i w:val="0"/>
                <w:color w:val="000000"/>
                <w:sz w:val="23"/>
              </w:rPr>
              <w:t>2</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23"/>
              </w:rPr>
              <w:t>庆元县人民检察院</w:t>
            </w:r>
          </w:p>
        </w:tc>
        <w:tc>
          <w:tcPr>
            <w:tcW w:w="451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23"/>
              </w:rPr>
              <w:t>法治教育宣传经费</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仿宋_GB2312" w:hAnsi="仿宋_GB2312" w:eastAsia="仿宋_GB2312" w:cs="仿宋_GB2312"/>
                <w:b w:val="0"/>
                <w:i w:val="0"/>
                <w:color w:val="000000"/>
                <w:sz w:val="23"/>
              </w:rPr>
              <w:t>优</w:t>
            </w:r>
          </w:p>
        </w:tc>
      </w:tr>
      <w:tr>
        <w:tblPrEx>
          <w:tblCellMar>
            <w:top w:w="0" w:type="dxa"/>
            <w:left w:w="20" w:type="dxa"/>
            <w:bottom w:w="0" w:type="dxa"/>
            <w:right w:w="20" w:type="dxa"/>
          </w:tblCellMar>
        </w:tblPrEx>
        <w:trPr>
          <w:trHeight w:val="538" w:hRule="exac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right"/>
            </w:pPr>
            <w:r>
              <w:rPr>
                <w:rFonts w:ascii="宋体" w:hAnsi="宋体" w:eastAsia="宋体" w:cs="宋体"/>
                <w:b w:val="0"/>
                <w:i w:val="0"/>
                <w:color w:val="000000"/>
                <w:sz w:val="23"/>
              </w:rPr>
              <w:t>3</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23"/>
              </w:rPr>
              <w:t>庆元县人民检察院</w:t>
            </w:r>
          </w:p>
        </w:tc>
        <w:tc>
          <w:tcPr>
            <w:tcW w:w="451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23"/>
              </w:rPr>
              <w:t>“科技强检”建设与应用经费</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仿宋_GB2312" w:hAnsi="仿宋_GB2312" w:eastAsia="仿宋_GB2312" w:cs="仿宋_GB2312"/>
                <w:b w:val="0"/>
                <w:i w:val="0"/>
                <w:color w:val="000000"/>
                <w:sz w:val="23"/>
              </w:rPr>
              <w:t>优</w:t>
            </w:r>
          </w:p>
        </w:tc>
      </w:tr>
      <w:tr>
        <w:tblPrEx>
          <w:tblCellMar>
            <w:top w:w="0" w:type="dxa"/>
            <w:left w:w="20" w:type="dxa"/>
            <w:bottom w:w="0" w:type="dxa"/>
            <w:right w:w="20" w:type="dxa"/>
          </w:tblCellMar>
        </w:tblPrEx>
        <w:trPr>
          <w:trHeight w:val="538" w:hRule="exac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right"/>
            </w:pPr>
            <w:r>
              <w:rPr>
                <w:rFonts w:ascii="宋体" w:hAnsi="宋体" w:eastAsia="宋体" w:cs="宋体"/>
                <w:b w:val="0"/>
                <w:i w:val="0"/>
                <w:color w:val="000000"/>
                <w:sz w:val="23"/>
              </w:rPr>
              <w:t>4</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23"/>
              </w:rPr>
              <w:t>庆元县人民检察院</w:t>
            </w:r>
          </w:p>
        </w:tc>
        <w:tc>
          <w:tcPr>
            <w:tcW w:w="451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23"/>
              </w:rPr>
              <w:t>省补办案(业务)经费</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仿宋_GB2312" w:hAnsi="仿宋_GB2312" w:eastAsia="仿宋_GB2312" w:cs="仿宋_GB2312"/>
                <w:b w:val="0"/>
                <w:i w:val="0"/>
                <w:color w:val="000000"/>
                <w:sz w:val="23"/>
              </w:rPr>
              <w:t>优</w:t>
            </w:r>
          </w:p>
        </w:tc>
      </w:tr>
      <w:tr>
        <w:tblPrEx>
          <w:tblCellMar>
            <w:top w:w="0" w:type="dxa"/>
            <w:left w:w="20" w:type="dxa"/>
            <w:bottom w:w="0" w:type="dxa"/>
            <w:right w:w="20" w:type="dxa"/>
          </w:tblCellMar>
        </w:tblPrEx>
        <w:trPr>
          <w:trHeight w:val="538" w:hRule="exac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right"/>
            </w:pPr>
            <w:r>
              <w:rPr>
                <w:rFonts w:ascii="宋体" w:hAnsi="宋体" w:eastAsia="宋体" w:cs="宋体"/>
                <w:b w:val="0"/>
                <w:i w:val="0"/>
                <w:color w:val="000000"/>
                <w:sz w:val="23"/>
              </w:rPr>
              <w:t>5</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23"/>
              </w:rPr>
              <w:t>庆元县人民检察院</w:t>
            </w:r>
          </w:p>
        </w:tc>
        <w:tc>
          <w:tcPr>
            <w:tcW w:w="451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23"/>
              </w:rPr>
              <w:t>省补业务装备经费</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仿宋_GB2312" w:hAnsi="仿宋_GB2312" w:eastAsia="仿宋_GB2312" w:cs="仿宋_GB2312"/>
                <w:b w:val="0"/>
                <w:i w:val="0"/>
                <w:color w:val="000000"/>
                <w:sz w:val="23"/>
              </w:rPr>
              <w:t>优</w:t>
            </w:r>
          </w:p>
        </w:tc>
      </w:tr>
      <w:tr>
        <w:tblPrEx>
          <w:tblCellMar>
            <w:top w:w="0" w:type="dxa"/>
            <w:left w:w="20" w:type="dxa"/>
            <w:bottom w:w="0" w:type="dxa"/>
            <w:right w:w="20" w:type="dxa"/>
          </w:tblCellMar>
        </w:tblPrEx>
        <w:trPr>
          <w:trHeight w:val="538" w:hRule="exac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right"/>
            </w:pPr>
            <w:r>
              <w:rPr>
                <w:rFonts w:ascii="宋体" w:hAnsi="宋体" w:eastAsia="宋体" w:cs="宋体"/>
                <w:b w:val="0"/>
                <w:i w:val="0"/>
                <w:color w:val="000000"/>
                <w:sz w:val="23"/>
              </w:rPr>
              <w:t>6</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23"/>
              </w:rPr>
              <w:t>庆元县人民检察院</w:t>
            </w:r>
          </w:p>
        </w:tc>
        <w:tc>
          <w:tcPr>
            <w:tcW w:w="451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23"/>
              </w:rPr>
              <w:t>省补司法救助专项资金</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仿宋_GB2312" w:hAnsi="仿宋_GB2312" w:eastAsia="仿宋_GB2312" w:cs="仿宋_GB2312"/>
                <w:b w:val="0"/>
                <w:i w:val="0"/>
                <w:color w:val="000000"/>
                <w:sz w:val="23"/>
              </w:rPr>
              <w:t>优</w:t>
            </w:r>
          </w:p>
        </w:tc>
      </w:tr>
      <w:tr>
        <w:tblPrEx>
          <w:tblCellMar>
            <w:top w:w="0" w:type="dxa"/>
            <w:left w:w="20" w:type="dxa"/>
            <w:bottom w:w="0" w:type="dxa"/>
            <w:right w:w="20" w:type="dxa"/>
          </w:tblCellMar>
        </w:tblPrEx>
        <w:trPr>
          <w:trHeight w:val="538" w:hRule="exac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right"/>
            </w:pPr>
            <w:r>
              <w:rPr>
                <w:rFonts w:ascii="宋体" w:hAnsi="宋体" w:eastAsia="宋体" w:cs="宋体"/>
                <w:b w:val="0"/>
                <w:i w:val="0"/>
                <w:color w:val="000000"/>
                <w:sz w:val="23"/>
              </w:rPr>
              <w:t>7</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val="0"/>
                <w:i w:val="0"/>
                <w:color w:val="000000"/>
                <w:sz w:val="23"/>
              </w:rPr>
              <w:t>庆元县人民检察院</w:t>
            </w:r>
          </w:p>
        </w:tc>
        <w:tc>
          <w:tcPr>
            <w:tcW w:w="451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23"/>
              </w:rPr>
              <w:t>结转省补办案（业务）经费</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仿宋_GB2312" w:hAnsi="仿宋_GB2312" w:eastAsia="仿宋_GB2312" w:cs="仿宋_GB2312"/>
                <w:b w:val="0"/>
                <w:i w:val="0"/>
                <w:color w:val="000000"/>
                <w:sz w:val="23"/>
              </w:rPr>
              <w:t>优</w:t>
            </w:r>
          </w:p>
        </w:tc>
      </w:tr>
    </w:tbl>
    <w:p>
      <w:pPr>
        <w:sectPr>
          <w:pgSz w:w="11907" w:h="16839"/>
          <w:pgMar w:top="400" w:right="1000" w:bottom="400" w:left="1000" w:header="720" w:footer="720" w:gutter="0"/>
        </w:sectPr>
      </w:pPr>
    </w:p>
    <w:p>
      <w:pPr>
        <w:pStyle w:val="17"/>
        <w:jc w:val="left"/>
        <w:rPr>
          <w:rFonts w:hint="eastAsia" w:ascii="仿宋" w:hAnsi="仿宋" w:eastAsia="仿宋"/>
          <w:sz w:val="32"/>
          <w:szCs w:val="32"/>
          <w:lang w:val="en-US" w:eastAsia="zh-CN"/>
        </w:rPr>
      </w:pPr>
      <w:r>
        <w:rPr>
          <w:rFonts w:hint="eastAsia" w:ascii="仿宋" w:hAnsi="仿宋" w:eastAsia="仿宋"/>
          <w:sz w:val="32"/>
          <w:szCs w:val="32"/>
        </w:rPr>
        <w:t>附件</w:t>
      </w:r>
      <w:r>
        <w:rPr>
          <w:rFonts w:hint="eastAsia" w:ascii="仿宋" w:hAnsi="仿宋" w:eastAsia="仿宋"/>
          <w:sz w:val="32"/>
          <w:szCs w:val="32"/>
          <w:lang w:val="en-US" w:eastAsia="zh-CN"/>
        </w:rPr>
        <w:t>5</w:t>
      </w:r>
    </w:p>
    <w:p>
      <w:pPr>
        <w:pStyle w:val="17"/>
        <w:jc w:val="left"/>
        <w:rPr>
          <w:rFonts w:hint="eastAsia" w:ascii="黑体" w:hAnsi="仿宋" w:eastAsia="黑体"/>
          <w:sz w:val="32"/>
          <w:szCs w:val="32"/>
        </w:rPr>
      </w:pPr>
    </w:p>
    <w:p>
      <w:pPr>
        <w:pStyle w:val="17"/>
        <w:jc w:val="center"/>
        <w:rPr>
          <w:rFonts w:hint="eastAsia" w:ascii="方正小标宋简体" w:eastAsia="方正小标宋简体"/>
          <w:bCs/>
          <w:sz w:val="36"/>
          <w:szCs w:val="36"/>
        </w:rPr>
      </w:pPr>
      <w:r>
        <w:rPr>
          <w:rFonts w:hint="eastAsia" w:ascii="方正小标宋简体" w:eastAsia="方正小标宋简体"/>
          <w:bCs/>
          <w:sz w:val="36"/>
          <w:szCs w:val="36"/>
          <w:lang w:eastAsia="zh-CN"/>
        </w:rPr>
        <w:t>庆元县人民检察院</w:t>
      </w:r>
      <w:r>
        <w:rPr>
          <w:rFonts w:hint="eastAsia" w:ascii="方正小标宋简体" w:eastAsia="方正小标宋简体"/>
          <w:bCs/>
          <w:sz w:val="36"/>
          <w:szCs w:val="36"/>
        </w:rPr>
        <w:t>部门整体支出绩效评价报告</w:t>
      </w:r>
    </w:p>
    <w:p>
      <w:pPr>
        <w:pStyle w:val="17"/>
        <w:spacing w:line="520" w:lineRule="exact"/>
        <w:ind w:firstLine="614" w:firstLineChars="192"/>
        <w:rPr>
          <w:rFonts w:hint="eastAsia" w:ascii="黑体" w:eastAsia="黑体"/>
          <w:sz w:val="32"/>
          <w:szCs w:val="32"/>
        </w:rPr>
      </w:pPr>
    </w:p>
    <w:p>
      <w:pPr>
        <w:pStyle w:val="17"/>
        <w:spacing w:line="520" w:lineRule="exact"/>
        <w:ind w:firstLine="614" w:firstLineChars="192"/>
        <w:rPr>
          <w:rFonts w:hint="eastAsia" w:ascii="黑体" w:eastAsia="黑体"/>
          <w:sz w:val="32"/>
          <w:szCs w:val="32"/>
        </w:rPr>
      </w:pPr>
      <w:r>
        <w:rPr>
          <w:rFonts w:hint="eastAsia" w:ascii="黑体" w:eastAsia="黑体"/>
          <w:sz w:val="32"/>
          <w:szCs w:val="32"/>
        </w:rPr>
        <w:t>一、部门基本概况</w:t>
      </w:r>
    </w:p>
    <w:p>
      <w:pPr>
        <w:pStyle w:val="17"/>
        <w:spacing w:line="520" w:lineRule="exact"/>
        <w:ind w:firstLine="614" w:firstLineChars="192"/>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（一）主要职能</w:t>
      </w:r>
    </w:p>
    <w:p>
      <w:pPr>
        <w:pStyle w:val="17"/>
        <w:spacing w:line="520" w:lineRule="exact"/>
        <w:ind w:firstLine="614" w:firstLineChars="192"/>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人民检察院是国家的法律监督机关，为维护国家宪法和法律的统一、正确实施而依法独立行使检察权。主要职责是：(</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)依法对公安机关侦查的案件进行审查，决定是否逮捕；对公安机关的侦查活动是否合法，实行监督。 (</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)依法对刑事案件提起公诉，支持公诉；对于人民法院的审判活动是否合法实行监督。 (</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)依法对刑事案件判决、裁定的执行和监狱、看守所等劳动改造机关的活动是否合法，实行监督。(</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)依法对民事审判活动和行政诉讼实行法律监督，对人民法院已经发生法律效力的民事、行政判决和裁定，发现有违反法律、法规等情况，按审判监督程序提出抗诉。</w:t>
      </w:r>
    </w:p>
    <w:p>
      <w:pPr>
        <w:pStyle w:val="17"/>
        <w:spacing w:line="520" w:lineRule="exact"/>
        <w:ind w:firstLine="614" w:firstLineChars="192"/>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（二）机构情况，包括当年变动情况及原因</w:t>
      </w:r>
    </w:p>
    <w:p>
      <w:pPr>
        <w:pStyle w:val="17"/>
        <w:spacing w:line="520" w:lineRule="exact"/>
        <w:ind w:firstLine="614" w:firstLineChars="192"/>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庆元县人民检察院属基层检察院，是1个独立核算机构，下设5个部，1个中心。包括:第一检察部（侦查监督科、公诉科）、第二检察部（民事行政检察科）、第三检察部（控告申诉检察科、检察技术科、监所检察科、法律政策研究室、驻屏都检察室）、政治部（政治处）、综合部（办公室、法警大队）和机关后勤服务中心，其中“机关后勤服务中心”这一内设机构系2014年度经批准增加。</w:t>
      </w:r>
    </w:p>
    <w:p>
      <w:pPr>
        <w:pStyle w:val="17"/>
        <w:spacing w:line="520" w:lineRule="exact"/>
        <w:ind w:firstLine="614" w:firstLineChars="192"/>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（三）人员情况，包括当年变动情况及原因</w:t>
      </w:r>
    </w:p>
    <w:p>
      <w:pPr>
        <w:pStyle w:val="17"/>
        <w:snapToGrid w:val="0"/>
        <w:spacing w:line="520" w:lineRule="exact"/>
        <w:ind w:firstLine="640" w:firstLineChars="2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我院202</w:t>
      </w:r>
      <w:r>
        <w:rPr>
          <w:rFonts w:hint="eastAsia" w:ascii="仿宋_GB2312" w:hAnsi="仿宋" w:eastAsia="仿宋_GB2312" w:cs="Times New Roman"/>
          <w:color w:val="000000"/>
          <w:sz w:val="32"/>
          <w:szCs w:val="32"/>
          <w:lang w:val="en-US" w:eastAsia="zh-CN"/>
        </w:rPr>
        <w:t>3</w:t>
      </w:r>
      <w:r>
        <w:rPr>
          <w:rFonts w:hint="eastAsia" w:ascii="仿宋_GB2312" w:hAnsi="仿宋" w:eastAsia="仿宋_GB2312" w:cs="Times New Roman"/>
          <w:color w:val="000000"/>
          <w:sz w:val="32"/>
          <w:szCs w:val="32"/>
        </w:rPr>
        <w:t>年度行政编制4</w:t>
      </w:r>
      <w:r>
        <w:rPr>
          <w:rFonts w:hint="eastAsia" w:ascii="仿宋_GB2312" w:hAnsi="仿宋" w:eastAsia="仿宋_GB2312" w:cs="Times New Roman"/>
          <w:color w:val="000000"/>
          <w:sz w:val="32"/>
          <w:szCs w:val="32"/>
          <w:lang w:val="en-US" w:eastAsia="zh-CN"/>
        </w:rPr>
        <w:t>2</w:t>
      </w:r>
      <w:r>
        <w:rPr>
          <w:rFonts w:hint="eastAsia" w:ascii="仿宋_GB2312" w:hAnsi="仿宋" w:eastAsia="仿宋_GB2312" w:cs="Times New Roman"/>
          <w:color w:val="000000"/>
          <w:sz w:val="32"/>
          <w:szCs w:val="32"/>
        </w:rPr>
        <w:t>人，事业编制3人。 202</w:t>
      </w:r>
      <w:r>
        <w:rPr>
          <w:rFonts w:hint="eastAsia" w:ascii="仿宋_GB2312" w:hAnsi="仿宋" w:eastAsia="仿宋_GB2312" w:cs="Times New Roman"/>
          <w:color w:val="000000"/>
          <w:sz w:val="32"/>
          <w:szCs w:val="32"/>
          <w:lang w:val="en-US" w:eastAsia="zh-CN"/>
        </w:rPr>
        <w:t>3</w:t>
      </w:r>
      <w:r>
        <w:rPr>
          <w:rFonts w:hint="eastAsia" w:ascii="仿宋_GB2312" w:hAnsi="仿宋" w:eastAsia="仿宋_GB2312" w:cs="Times New Roman"/>
          <w:color w:val="000000"/>
          <w:sz w:val="32"/>
          <w:szCs w:val="32"/>
        </w:rPr>
        <w:t>年末实有在职人员</w:t>
      </w:r>
      <w:r>
        <w:rPr>
          <w:rFonts w:hint="eastAsia" w:ascii="仿宋_GB2312" w:hAnsi="仿宋" w:eastAsia="仿宋_GB2312" w:cs="Times New Roman"/>
          <w:color w:val="000000"/>
          <w:sz w:val="32"/>
          <w:szCs w:val="32"/>
          <w:lang w:val="en-US" w:eastAsia="zh-CN"/>
        </w:rPr>
        <w:t>45</w:t>
      </w:r>
      <w:r>
        <w:rPr>
          <w:rFonts w:hint="eastAsia" w:ascii="仿宋_GB2312" w:hAnsi="仿宋" w:eastAsia="仿宋_GB2312" w:cs="Times New Roman"/>
          <w:color w:val="000000"/>
          <w:sz w:val="32"/>
          <w:szCs w:val="32"/>
        </w:rPr>
        <w:t>人，</w:t>
      </w:r>
      <w:r>
        <w:rPr>
          <w:rFonts w:hint="eastAsia" w:ascii="仿宋_GB2312" w:hAnsi="仿宋" w:eastAsia="仿宋_GB2312" w:cs="Times New Roman"/>
          <w:color w:val="000000"/>
          <w:sz w:val="32"/>
          <w:szCs w:val="32"/>
          <w:lang w:eastAsia="zh-CN"/>
        </w:rPr>
        <w:t>比去年少一人，</w:t>
      </w:r>
      <w:r>
        <w:rPr>
          <w:rFonts w:hint="eastAsia" w:ascii="仿宋_GB2312" w:hAnsi="仿宋" w:eastAsia="仿宋_GB2312" w:cs="Times New Roman"/>
          <w:color w:val="000000"/>
          <w:sz w:val="32"/>
          <w:szCs w:val="32"/>
        </w:rPr>
        <w:t>主要是202</w:t>
      </w:r>
      <w:r>
        <w:rPr>
          <w:rFonts w:hint="eastAsia" w:ascii="仿宋_GB2312" w:hAnsi="仿宋" w:eastAsia="仿宋_GB2312" w:cs="Times New Roman"/>
          <w:color w:val="000000"/>
          <w:sz w:val="32"/>
          <w:szCs w:val="32"/>
          <w:lang w:val="en-US" w:eastAsia="zh-CN"/>
        </w:rPr>
        <w:t>3</w:t>
      </w:r>
      <w:r>
        <w:rPr>
          <w:rFonts w:hint="eastAsia" w:ascii="仿宋_GB2312" w:hAnsi="仿宋" w:eastAsia="仿宋_GB2312" w:cs="Times New Roman"/>
          <w:color w:val="000000"/>
          <w:sz w:val="32"/>
          <w:szCs w:val="32"/>
        </w:rPr>
        <w:t>年度</w:t>
      </w:r>
      <w:r>
        <w:rPr>
          <w:rFonts w:hint="eastAsia" w:ascii="仿宋_GB2312" w:hAnsi="仿宋" w:eastAsia="仿宋_GB2312" w:cs="Times New Roman"/>
          <w:color w:val="000000"/>
          <w:sz w:val="32"/>
          <w:szCs w:val="32"/>
          <w:lang w:eastAsia="zh-CN"/>
        </w:rPr>
        <w:t>未招录人员，有</w:t>
      </w:r>
      <w:r>
        <w:rPr>
          <w:rFonts w:hint="eastAsia" w:ascii="仿宋_GB2312" w:hAnsi="仿宋" w:eastAsia="仿宋_GB2312" w:cs="Times New Roman"/>
          <w:color w:val="000000"/>
          <w:sz w:val="32"/>
          <w:szCs w:val="32"/>
          <w:lang w:val="en-US" w:eastAsia="zh-CN"/>
        </w:rPr>
        <w:t>1人</w:t>
      </w:r>
      <w:r>
        <w:rPr>
          <w:rFonts w:hint="eastAsia" w:ascii="仿宋_GB2312" w:hAnsi="仿宋" w:eastAsia="仿宋_GB2312" w:cs="Times New Roman"/>
          <w:color w:val="000000"/>
          <w:sz w:val="32"/>
          <w:szCs w:val="32"/>
          <w:lang w:eastAsia="zh-CN"/>
        </w:rPr>
        <w:t>退休</w:t>
      </w:r>
      <w:r>
        <w:rPr>
          <w:rFonts w:hint="eastAsia" w:ascii="仿宋_GB2312" w:hAnsi="仿宋" w:eastAsia="仿宋_GB2312" w:cs="Times New Roman"/>
          <w:color w:val="000000"/>
          <w:sz w:val="32"/>
          <w:szCs w:val="32"/>
        </w:rPr>
        <w:t>；年末实有退休人员</w:t>
      </w:r>
      <w:r>
        <w:rPr>
          <w:rFonts w:hint="eastAsia" w:ascii="仿宋_GB2312" w:hAnsi="仿宋" w:eastAsia="仿宋_GB2312" w:cs="Times New Roman"/>
          <w:color w:val="000000"/>
          <w:sz w:val="32"/>
          <w:szCs w:val="32"/>
          <w:lang w:val="en-US" w:eastAsia="zh-CN"/>
        </w:rPr>
        <w:t>25</w:t>
      </w:r>
      <w:r>
        <w:rPr>
          <w:rFonts w:hint="eastAsia" w:ascii="仿宋_GB2312" w:hAnsi="仿宋" w:eastAsia="仿宋_GB2312" w:cs="Times New Roman"/>
          <w:color w:val="000000"/>
          <w:sz w:val="32"/>
          <w:szCs w:val="32"/>
        </w:rPr>
        <w:t>人，遗属1人，另有编外</w:t>
      </w:r>
      <w:r>
        <w:rPr>
          <w:rFonts w:hint="eastAsia" w:ascii="仿宋_GB2312" w:hAnsi="仿宋" w:eastAsia="仿宋_GB2312" w:cs="Times New Roman"/>
          <w:color w:val="000000"/>
          <w:sz w:val="32"/>
          <w:szCs w:val="32"/>
          <w:lang w:val="en-US" w:eastAsia="zh-CN"/>
        </w:rPr>
        <w:t>19</w:t>
      </w:r>
      <w:r>
        <w:rPr>
          <w:rFonts w:hint="eastAsia" w:ascii="仿宋_GB2312" w:hAnsi="仿宋" w:eastAsia="仿宋_GB2312" w:cs="Times New Roman"/>
          <w:color w:val="000000"/>
          <w:sz w:val="32"/>
          <w:szCs w:val="32"/>
        </w:rPr>
        <w:t>人。</w:t>
      </w:r>
    </w:p>
    <w:p>
      <w:pPr>
        <w:pStyle w:val="17"/>
        <w:numPr>
          <w:ilvl w:val="0"/>
          <w:numId w:val="0"/>
        </w:numPr>
        <w:spacing w:line="520" w:lineRule="exact"/>
        <w:ind w:left="210" w:leftChars="0" w:firstLine="320" w:firstLineChars="100"/>
        <w:rPr>
          <w:rFonts w:hint="eastAsia"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年度财政收支</w:t>
      </w:r>
      <w:r>
        <w:rPr>
          <w:rFonts w:hint="eastAsia" w:ascii="仿宋_GB2312" w:eastAsia="仿宋_GB2312"/>
          <w:sz w:val="32"/>
          <w:szCs w:val="32"/>
          <w:lang w:eastAsia="zh-CN"/>
        </w:rPr>
        <w:t>情况</w:t>
      </w:r>
    </w:p>
    <w:p>
      <w:pPr>
        <w:pStyle w:val="17"/>
        <w:widowControl/>
        <w:spacing w:line="540" w:lineRule="exact"/>
        <w:ind w:right="-315" w:rightChars="-150"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2023年本年收入2279.12万元，其中财政拨款2273.44万元，相比2022政拨款2238.47万元增加了1.56%，主要是人员经费增加。财政拨款基本支出1720.87万元，其中包括工资福利支出1463.57万元，商品和服务支出204万元，对个人和家庭的补助53.3万元，相比2022年财政拨款基本支出1638.04万元增加了5.06%，主要原因是人员经费增加。财政拨款项目支出552.57万元，其中包括商品和服务支出428.43万元，对个人和家庭的补助24.79万</w:t>
      </w:r>
      <w:bookmarkStart w:id="57" w:name="_GoBack"/>
      <w:bookmarkEnd w:id="57"/>
      <w:r>
        <w:rPr>
          <w:rFonts w:hint="eastAsia" w:ascii="仿宋_GB2312" w:hAnsi="仿宋_GB2312" w:eastAsia="仿宋_GB2312" w:cs="仿宋_GB2312"/>
          <w:color w:val="000000"/>
          <w:sz w:val="32"/>
          <w:szCs w:val="32"/>
          <w:lang w:val="en-US" w:eastAsia="zh-CN"/>
        </w:rPr>
        <w:t>元，资本性支出99.35万元，相比2022年财政拨款项目支出600.43万元减少了7.97% ，主要原因是项目经费减少。</w:t>
      </w:r>
    </w:p>
    <w:p>
      <w:pPr>
        <w:pStyle w:val="19"/>
        <w:ind w:left="0" w:leftChars="0" w:firstLine="640" w:firstLineChars="200"/>
        <w:rPr>
          <w:rFonts w:hint="eastAsia" w:eastAsia="仿宋_GB2312"/>
          <w:lang w:eastAsia="zh-CN"/>
        </w:rPr>
      </w:pPr>
      <w:r>
        <w:rPr>
          <w:rFonts w:hint="eastAsia" w:ascii="仿宋_GB2312" w:hAnsi="Times New Roman" w:eastAsia="仿宋_GB2312" w:cs="Times New Roman"/>
          <w:sz w:val="32"/>
          <w:szCs w:val="32"/>
          <w:lang w:eastAsia="zh-CN"/>
        </w:rPr>
        <w:t>（五）年末固定资产情况</w:t>
      </w:r>
    </w:p>
    <w:tbl>
      <w:tblPr>
        <w:tblStyle w:val="20"/>
        <w:tblW w:w="9620" w:type="dxa"/>
        <w:tblInd w:w="93" w:type="dxa"/>
        <w:tblLayout w:type="autofit"/>
        <w:tblCellMar>
          <w:top w:w="0" w:type="dxa"/>
          <w:left w:w="108" w:type="dxa"/>
          <w:bottom w:w="0" w:type="dxa"/>
          <w:right w:w="108" w:type="dxa"/>
        </w:tblCellMar>
      </w:tblPr>
      <w:tblGrid>
        <w:gridCol w:w="1776"/>
        <w:gridCol w:w="853"/>
        <w:gridCol w:w="1419"/>
        <w:gridCol w:w="1270"/>
        <w:gridCol w:w="1196"/>
        <w:gridCol w:w="776"/>
        <w:gridCol w:w="776"/>
        <w:gridCol w:w="777"/>
        <w:gridCol w:w="777"/>
      </w:tblGrid>
      <w:tr>
        <w:tblPrEx>
          <w:tblCellMar>
            <w:top w:w="0" w:type="dxa"/>
            <w:left w:w="108" w:type="dxa"/>
            <w:bottom w:w="0" w:type="dxa"/>
            <w:right w:w="108" w:type="dxa"/>
          </w:tblCellMar>
        </w:tblPrEx>
        <w:trPr>
          <w:trHeight w:val="270" w:hRule="atLeast"/>
        </w:trPr>
        <w:tc>
          <w:tcPr>
            <w:tcW w:w="1810" w:type="dxa"/>
            <w:vMerge w:val="restart"/>
            <w:tcBorders>
              <w:top w:val="single" w:color="auto" w:sz="4" w:space="0"/>
              <w:left w:val="single" w:color="auto" w:sz="4" w:space="0"/>
              <w:bottom w:val="single" w:color="auto" w:sz="4" w:space="0"/>
              <w:right w:val="single" w:color="auto" w:sz="4" w:space="0"/>
            </w:tcBorders>
            <w:noWrap w:val="0"/>
            <w:vAlign w:val="center"/>
          </w:tcPr>
          <w:p>
            <w:pPr>
              <w:pStyle w:val="17"/>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xml:space="preserve">           资产类型</w:t>
            </w:r>
          </w:p>
        </w:tc>
        <w:tc>
          <w:tcPr>
            <w:tcW w:w="4678" w:type="dxa"/>
            <w:gridSpan w:val="4"/>
            <w:tcBorders>
              <w:top w:val="single" w:color="auto" w:sz="4" w:space="0"/>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存量</w:t>
            </w:r>
          </w:p>
        </w:tc>
        <w:tc>
          <w:tcPr>
            <w:tcW w:w="1566" w:type="dxa"/>
            <w:gridSpan w:val="2"/>
            <w:tcBorders>
              <w:top w:val="single" w:color="auto" w:sz="4" w:space="0"/>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出租出借</w:t>
            </w:r>
          </w:p>
        </w:tc>
        <w:tc>
          <w:tcPr>
            <w:tcW w:w="1566" w:type="dxa"/>
            <w:gridSpan w:val="2"/>
            <w:tcBorders>
              <w:top w:val="single" w:color="auto" w:sz="4" w:space="0"/>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待处置（待报废、毁损等）</w:t>
            </w:r>
          </w:p>
        </w:tc>
      </w:tr>
      <w:tr>
        <w:tblPrEx>
          <w:tblCellMar>
            <w:top w:w="0" w:type="dxa"/>
            <w:left w:w="108" w:type="dxa"/>
            <w:bottom w:w="0" w:type="dxa"/>
            <w:right w:w="108" w:type="dxa"/>
          </w:tblCellMar>
        </w:tblPrEx>
        <w:trPr>
          <w:trHeight w:val="390" w:hRule="atLeast"/>
        </w:trPr>
        <w:tc>
          <w:tcPr>
            <w:tcW w:w="1810" w:type="dxa"/>
            <w:vMerge w:val="continue"/>
            <w:tcBorders>
              <w:top w:val="single" w:color="auto" w:sz="4" w:space="0"/>
              <w:left w:val="single" w:color="auto" w:sz="4" w:space="0"/>
              <w:bottom w:val="single" w:color="auto" w:sz="4" w:space="0"/>
              <w:right w:val="single" w:color="auto" w:sz="4" w:space="0"/>
            </w:tcBorders>
            <w:noWrap w:val="0"/>
            <w:vAlign w:val="center"/>
          </w:tcPr>
          <w:p>
            <w:pPr>
              <w:pStyle w:val="17"/>
              <w:widowControl/>
              <w:jc w:val="left"/>
              <w:rPr>
                <w:rFonts w:ascii="微软雅黑" w:hAnsi="微软雅黑" w:eastAsia="微软雅黑" w:cs="宋体"/>
                <w:color w:val="000000"/>
                <w:kern w:val="0"/>
                <w:sz w:val="16"/>
                <w:szCs w:val="16"/>
              </w:rPr>
            </w:pPr>
          </w:p>
        </w:tc>
        <w:tc>
          <w:tcPr>
            <w:tcW w:w="854"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数量</w:t>
            </w:r>
          </w:p>
        </w:tc>
        <w:tc>
          <w:tcPr>
            <w:tcW w:w="1424"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原值</w:t>
            </w:r>
          </w:p>
        </w:tc>
        <w:tc>
          <w:tcPr>
            <w:tcW w:w="1203"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累计折旧/摊销</w:t>
            </w:r>
          </w:p>
        </w:tc>
        <w:tc>
          <w:tcPr>
            <w:tcW w:w="1197"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净值</w:t>
            </w:r>
          </w:p>
        </w:tc>
        <w:tc>
          <w:tcPr>
            <w:tcW w:w="783"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数量</w:t>
            </w:r>
          </w:p>
        </w:tc>
        <w:tc>
          <w:tcPr>
            <w:tcW w:w="783"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原值</w:t>
            </w:r>
          </w:p>
        </w:tc>
        <w:tc>
          <w:tcPr>
            <w:tcW w:w="783"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数量</w:t>
            </w:r>
          </w:p>
        </w:tc>
        <w:tc>
          <w:tcPr>
            <w:tcW w:w="783"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原值</w:t>
            </w:r>
          </w:p>
        </w:tc>
      </w:tr>
      <w:tr>
        <w:tblPrEx>
          <w:tblCellMar>
            <w:top w:w="0" w:type="dxa"/>
            <w:left w:w="108" w:type="dxa"/>
            <w:bottom w:w="0" w:type="dxa"/>
            <w:right w:w="108" w:type="dxa"/>
          </w:tblCellMar>
        </w:tblPrEx>
        <w:trPr>
          <w:trHeight w:val="270" w:hRule="atLeast"/>
        </w:trPr>
        <w:tc>
          <w:tcPr>
            <w:tcW w:w="1810" w:type="dxa"/>
            <w:tcBorders>
              <w:top w:val="nil"/>
              <w:left w:val="single" w:color="auto" w:sz="4" w:space="0"/>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合计</w:t>
            </w:r>
          </w:p>
        </w:tc>
        <w:tc>
          <w:tcPr>
            <w:tcW w:w="854"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c>
          <w:tcPr>
            <w:tcW w:w="1424" w:type="dxa"/>
            <w:tcBorders>
              <w:top w:val="nil"/>
              <w:left w:val="nil"/>
              <w:bottom w:val="single" w:color="auto" w:sz="4" w:space="0"/>
              <w:right w:val="single" w:color="auto" w:sz="4" w:space="0"/>
            </w:tcBorders>
            <w:noWrap w:val="0"/>
            <w:vAlign w:val="center"/>
          </w:tcPr>
          <w:p>
            <w:pPr>
              <w:pStyle w:val="17"/>
              <w:keepNext w:val="0"/>
              <w:keepLines w:val="0"/>
              <w:widowControl/>
              <w:suppressLineNumbers w:val="0"/>
              <w:jc w:val="right"/>
              <w:textAlignment w:val="center"/>
              <w:rPr>
                <w:rFonts w:hint="default" w:ascii="Calibri" w:hAnsi="Calibri" w:eastAsia="宋体" w:cs="Calibri"/>
                <w:i w:val="0"/>
                <w:color w:val="000000"/>
                <w:kern w:val="2"/>
                <w:sz w:val="28"/>
                <w:szCs w:val="28"/>
                <w:u w:val="none"/>
                <w:lang w:val="en-US" w:eastAsia="zh-CN" w:bidi="ar-SA"/>
              </w:rPr>
            </w:pPr>
            <w:r>
              <w:rPr>
                <w:rFonts w:hint="default" w:ascii="微软雅黑" w:hAnsi="微软雅黑" w:eastAsia="微软雅黑" w:cs="宋体"/>
                <w:color w:val="000000"/>
                <w:kern w:val="0"/>
                <w:sz w:val="16"/>
                <w:szCs w:val="16"/>
                <w:lang w:val="en-US" w:eastAsia="zh-CN"/>
              </w:rPr>
              <w:t>32,126,527.96</w:t>
            </w:r>
            <w:r>
              <w:rPr>
                <w:rFonts w:hint="default" w:ascii="Calibri" w:hAnsi="Calibri" w:eastAsia="宋体" w:cs="Calibri"/>
                <w:i w:val="0"/>
                <w:color w:val="000000"/>
                <w:kern w:val="0"/>
                <w:sz w:val="28"/>
                <w:szCs w:val="28"/>
                <w:u w:val="none"/>
                <w:lang w:val="en-US" w:eastAsia="zh-CN" w:bidi="zh-HK"/>
              </w:rPr>
              <w:t xml:space="preserve"> </w:t>
            </w:r>
          </w:p>
        </w:tc>
        <w:tc>
          <w:tcPr>
            <w:tcW w:w="1203"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c>
          <w:tcPr>
            <w:tcW w:w="1197"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c>
          <w:tcPr>
            <w:tcW w:w="783"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c>
          <w:tcPr>
            <w:tcW w:w="783"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r>
      <w:tr>
        <w:tblPrEx>
          <w:tblCellMar>
            <w:top w:w="0" w:type="dxa"/>
            <w:left w:w="108" w:type="dxa"/>
            <w:bottom w:w="0" w:type="dxa"/>
            <w:right w:w="108" w:type="dxa"/>
          </w:tblCellMar>
        </w:tblPrEx>
        <w:trPr>
          <w:trHeight w:val="270" w:hRule="atLeast"/>
        </w:trPr>
        <w:tc>
          <w:tcPr>
            <w:tcW w:w="1810" w:type="dxa"/>
            <w:tcBorders>
              <w:top w:val="nil"/>
              <w:left w:val="single" w:color="auto" w:sz="4" w:space="0"/>
              <w:bottom w:val="single" w:color="auto" w:sz="4" w:space="0"/>
              <w:right w:val="single" w:color="auto" w:sz="4" w:space="0"/>
            </w:tcBorders>
            <w:noWrap w:val="0"/>
            <w:vAlign w:val="center"/>
          </w:tcPr>
          <w:p>
            <w:pPr>
              <w:pStyle w:val="17"/>
              <w:widowControl/>
              <w:jc w:val="left"/>
              <w:rPr>
                <w:rFonts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一、固定资产</w:t>
            </w:r>
          </w:p>
        </w:tc>
        <w:tc>
          <w:tcPr>
            <w:tcW w:w="854"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c>
          <w:tcPr>
            <w:tcW w:w="1424" w:type="dxa"/>
            <w:tcBorders>
              <w:top w:val="nil"/>
              <w:left w:val="nil"/>
              <w:bottom w:val="single" w:color="auto" w:sz="4" w:space="0"/>
              <w:right w:val="single" w:color="auto" w:sz="4" w:space="0"/>
            </w:tcBorders>
            <w:noWrap w:val="0"/>
            <w:vAlign w:val="center"/>
          </w:tcPr>
          <w:p>
            <w:pPr>
              <w:pStyle w:val="17"/>
              <w:widowControl/>
              <w:jc w:val="right"/>
              <w:rPr>
                <w:rFonts w:hint="default" w:ascii="微软雅黑" w:hAnsi="微软雅黑" w:eastAsia="微软雅黑" w:cs="宋体"/>
                <w:color w:val="000000"/>
                <w:kern w:val="0"/>
                <w:sz w:val="16"/>
                <w:szCs w:val="16"/>
                <w:lang w:val="en-US" w:eastAsia="zh-CN"/>
              </w:rPr>
            </w:pPr>
            <w:r>
              <w:rPr>
                <w:rFonts w:hint="default" w:ascii="微软雅黑" w:hAnsi="微软雅黑" w:eastAsia="微软雅黑" w:cs="宋体"/>
                <w:color w:val="000000"/>
                <w:kern w:val="0"/>
                <w:sz w:val="16"/>
                <w:szCs w:val="16"/>
                <w:lang w:val="en-US" w:eastAsia="zh-CN"/>
              </w:rPr>
              <w:t>32,126,527.96</w:t>
            </w:r>
          </w:p>
        </w:tc>
        <w:tc>
          <w:tcPr>
            <w:tcW w:w="1203"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c>
          <w:tcPr>
            <w:tcW w:w="1197"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c>
          <w:tcPr>
            <w:tcW w:w="783"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c>
          <w:tcPr>
            <w:tcW w:w="783"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r>
      <w:tr>
        <w:tblPrEx>
          <w:tblCellMar>
            <w:top w:w="0" w:type="dxa"/>
            <w:left w:w="108" w:type="dxa"/>
            <w:bottom w:w="0" w:type="dxa"/>
            <w:right w:w="108" w:type="dxa"/>
          </w:tblCellMar>
        </w:tblPrEx>
        <w:trPr>
          <w:trHeight w:val="270" w:hRule="atLeast"/>
        </w:trPr>
        <w:tc>
          <w:tcPr>
            <w:tcW w:w="1810" w:type="dxa"/>
            <w:tcBorders>
              <w:top w:val="nil"/>
              <w:left w:val="single" w:color="auto" w:sz="4" w:space="0"/>
              <w:bottom w:val="single" w:color="auto" w:sz="4" w:space="0"/>
              <w:right w:val="single" w:color="auto" w:sz="4" w:space="0"/>
            </w:tcBorders>
            <w:noWrap w:val="0"/>
            <w:vAlign w:val="center"/>
          </w:tcPr>
          <w:p>
            <w:pPr>
              <w:pStyle w:val="17"/>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（一）土地、房屋及构筑物</w:t>
            </w:r>
          </w:p>
        </w:tc>
        <w:tc>
          <w:tcPr>
            <w:tcW w:w="854"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c>
          <w:tcPr>
            <w:tcW w:w="1424" w:type="dxa"/>
            <w:tcBorders>
              <w:top w:val="nil"/>
              <w:left w:val="nil"/>
              <w:bottom w:val="single" w:color="auto" w:sz="4" w:space="0"/>
              <w:right w:val="single" w:color="auto" w:sz="4" w:space="0"/>
            </w:tcBorders>
            <w:noWrap w:val="0"/>
            <w:vAlign w:val="center"/>
          </w:tcPr>
          <w:p>
            <w:pPr>
              <w:pStyle w:val="17"/>
              <w:widowControl/>
              <w:jc w:val="right"/>
              <w:rPr>
                <w:rFonts w:hint="default" w:ascii="微软雅黑" w:hAnsi="微软雅黑" w:eastAsia="微软雅黑" w:cs="宋体"/>
                <w:color w:val="000000"/>
                <w:kern w:val="0"/>
                <w:sz w:val="16"/>
                <w:szCs w:val="16"/>
                <w:lang w:val="en-US" w:eastAsia="zh-CN"/>
              </w:rPr>
            </w:pPr>
            <w:r>
              <w:rPr>
                <w:rFonts w:hint="eastAsia" w:ascii="微软雅黑" w:hAnsi="微软雅黑" w:eastAsia="微软雅黑" w:cs="宋体"/>
                <w:color w:val="000000"/>
                <w:kern w:val="0"/>
                <w:sz w:val="16"/>
                <w:szCs w:val="16"/>
                <w:lang w:val="en-US" w:eastAsia="zh-CN"/>
              </w:rPr>
              <w:t>12807641.09</w:t>
            </w:r>
          </w:p>
        </w:tc>
        <w:tc>
          <w:tcPr>
            <w:tcW w:w="1203"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c>
          <w:tcPr>
            <w:tcW w:w="1197"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c>
          <w:tcPr>
            <w:tcW w:w="783"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c>
          <w:tcPr>
            <w:tcW w:w="783"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r>
      <w:tr>
        <w:tblPrEx>
          <w:tblCellMar>
            <w:top w:w="0" w:type="dxa"/>
            <w:left w:w="108" w:type="dxa"/>
            <w:bottom w:w="0" w:type="dxa"/>
            <w:right w:w="108" w:type="dxa"/>
          </w:tblCellMar>
        </w:tblPrEx>
        <w:trPr>
          <w:trHeight w:val="270" w:hRule="atLeast"/>
        </w:trPr>
        <w:tc>
          <w:tcPr>
            <w:tcW w:w="1810" w:type="dxa"/>
            <w:tcBorders>
              <w:top w:val="nil"/>
              <w:left w:val="single" w:color="auto" w:sz="4" w:space="0"/>
              <w:bottom w:val="single" w:color="auto" w:sz="4" w:space="0"/>
              <w:right w:val="single" w:color="auto" w:sz="4" w:space="0"/>
            </w:tcBorders>
            <w:noWrap w:val="0"/>
            <w:vAlign w:val="center"/>
          </w:tcPr>
          <w:p>
            <w:pPr>
              <w:pStyle w:val="17"/>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xml:space="preserve">    1.土地（平方米）</w:t>
            </w:r>
          </w:p>
        </w:tc>
        <w:tc>
          <w:tcPr>
            <w:tcW w:w="854"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c>
          <w:tcPr>
            <w:tcW w:w="1424"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c>
          <w:tcPr>
            <w:tcW w:w="1203"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c>
          <w:tcPr>
            <w:tcW w:w="1197"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r>
      <w:tr>
        <w:tblPrEx>
          <w:tblCellMar>
            <w:top w:w="0" w:type="dxa"/>
            <w:left w:w="108" w:type="dxa"/>
            <w:bottom w:w="0" w:type="dxa"/>
            <w:right w:w="108" w:type="dxa"/>
          </w:tblCellMar>
        </w:tblPrEx>
        <w:trPr>
          <w:trHeight w:val="270" w:hRule="atLeast"/>
        </w:trPr>
        <w:tc>
          <w:tcPr>
            <w:tcW w:w="1810" w:type="dxa"/>
            <w:tcBorders>
              <w:top w:val="nil"/>
              <w:left w:val="single" w:color="auto" w:sz="4" w:space="0"/>
              <w:bottom w:val="single" w:color="auto" w:sz="4" w:space="0"/>
              <w:right w:val="single" w:color="auto" w:sz="4" w:space="0"/>
            </w:tcBorders>
            <w:noWrap w:val="0"/>
            <w:vAlign w:val="center"/>
          </w:tcPr>
          <w:p>
            <w:pPr>
              <w:pStyle w:val="17"/>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xml:space="preserve">    2.房屋（平方米）</w:t>
            </w:r>
          </w:p>
        </w:tc>
        <w:tc>
          <w:tcPr>
            <w:tcW w:w="854"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5064.14</w:t>
            </w:r>
          </w:p>
        </w:tc>
        <w:tc>
          <w:tcPr>
            <w:tcW w:w="1424" w:type="dxa"/>
            <w:tcBorders>
              <w:top w:val="nil"/>
              <w:left w:val="nil"/>
              <w:bottom w:val="single" w:color="auto" w:sz="4" w:space="0"/>
              <w:right w:val="single" w:color="auto" w:sz="4" w:space="0"/>
            </w:tcBorders>
            <w:noWrap w:val="0"/>
            <w:vAlign w:val="center"/>
          </w:tcPr>
          <w:p>
            <w:pPr>
              <w:pStyle w:val="17"/>
              <w:widowControl/>
              <w:jc w:val="right"/>
              <w:rPr>
                <w:rFonts w:hint="default" w:ascii="微软雅黑" w:hAnsi="微软雅黑" w:eastAsia="微软雅黑" w:cs="宋体"/>
                <w:color w:val="000000"/>
                <w:kern w:val="0"/>
                <w:sz w:val="16"/>
                <w:szCs w:val="16"/>
                <w:lang w:val="en-US" w:eastAsia="zh-CN"/>
              </w:rPr>
            </w:pPr>
            <w:r>
              <w:rPr>
                <w:rFonts w:hint="eastAsia" w:ascii="微软雅黑" w:hAnsi="微软雅黑" w:eastAsia="微软雅黑" w:cs="宋体"/>
                <w:color w:val="000000"/>
                <w:kern w:val="0"/>
                <w:sz w:val="16"/>
                <w:szCs w:val="16"/>
                <w:lang w:val="en-US" w:eastAsia="zh-CN"/>
              </w:rPr>
              <w:t>12807641.09</w:t>
            </w:r>
          </w:p>
        </w:tc>
        <w:tc>
          <w:tcPr>
            <w:tcW w:w="1203"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c>
          <w:tcPr>
            <w:tcW w:w="1197"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r>
      <w:tr>
        <w:tblPrEx>
          <w:tblCellMar>
            <w:top w:w="0" w:type="dxa"/>
            <w:left w:w="108" w:type="dxa"/>
            <w:bottom w:w="0" w:type="dxa"/>
            <w:right w:w="108" w:type="dxa"/>
          </w:tblCellMar>
        </w:tblPrEx>
        <w:trPr>
          <w:trHeight w:val="270" w:hRule="atLeast"/>
        </w:trPr>
        <w:tc>
          <w:tcPr>
            <w:tcW w:w="1810" w:type="dxa"/>
            <w:tcBorders>
              <w:top w:val="nil"/>
              <w:left w:val="single" w:color="auto" w:sz="4" w:space="0"/>
              <w:bottom w:val="single" w:color="auto" w:sz="4" w:space="0"/>
              <w:right w:val="single" w:color="auto" w:sz="4" w:space="0"/>
            </w:tcBorders>
            <w:noWrap w:val="0"/>
            <w:vAlign w:val="center"/>
          </w:tcPr>
          <w:p>
            <w:pPr>
              <w:pStyle w:val="17"/>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xml:space="preserve">       办公用房</w:t>
            </w:r>
          </w:p>
        </w:tc>
        <w:tc>
          <w:tcPr>
            <w:tcW w:w="854"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4</w:t>
            </w:r>
            <w:r>
              <w:rPr>
                <w:rFonts w:hint="eastAsia" w:ascii="微软雅黑" w:hAnsi="微软雅黑" w:eastAsia="微软雅黑" w:cs="宋体"/>
                <w:color w:val="000000"/>
                <w:kern w:val="0"/>
                <w:sz w:val="16"/>
                <w:szCs w:val="16"/>
                <w:lang w:val="en-US" w:eastAsia="zh-CN"/>
              </w:rPr>
              <w:t>80</w:t>
            </w:r>
            <w:r>
              <w:rPr>
                <w:rFonts w:hint="eastAsia" w:ascii="微软雅黑" w:hAnsi="微软雅黑" w:eastAsia="微软雅黑" w:cs="宋体"/>
                <w:color w:val="000000"/>
                <w:kern w:val="0"/>
                <w:sz w:val="16"/>
                <w:szCs w:val="16"/>
              </w:rPr>
              <w:t>.00</w:t>
            </w:r>
          </w:p>
        </w:tc>
        <w:tc>
          <w:tcPr>
            <w:tcW w:w="1424"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c>
          <w:tcPr>
            <w:tcW w:w="1203"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c>
          <w:tcPr>
            <w:tcW w:w="1197"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c>
          <w:tcPr>
            <w:tcW w:w="783"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c>
          <w:tcPr>
            <w:tcW w:w="783"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r>
      <w:tr>
        <w:tblPrEx>
          <w:tblCellMar>
            <w:top w:w="0" w:type="dxa"/>
            <w:left w:w="108" w:type="dxa"/>
            <w:bottom w:w="0" w:type="dxa"/>
            <w:right w:w="108" w:type="dxa"/>
          </w:tblCellMar>
        </w:tblPrEx>
        <w:trPr>
          <w:trHeight w:val="540" w:hRule="atLeast"/>
        </w:trPr>
        <w:tc>
          <w:tcPr>
            <w:tcW w:w="1810" w:type="dxa"/>
            <w:tcBorders>
              <w:top w:val="nil"/>
              <w:left w:val="single" w:color="auto" w:sz="4" w:space="0"/>
              <w:bottom w:val="single" w:color="auto" w:sz="4" w:space="0"/>
              <w:right w:val="single" w:color="auto" w:sz="4" w:space="0"/>
            </w:tcBorders>
            <w:noWrap w:val="0"/>
            <w:vAlign w:val="center"/>
          </w:tcPr>
          <w:p>
            <w:pPr>
              <w:pStyle w:val="17"/>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其中：本单位实际使用办公室用房</w:t>
            </w:r>
          </w:p>
        </w:tc>
        <w:tc>
          <w:tcPr>
            <w:tcW w:w="854"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c>
          <w:tcPr>
            <w:tcW w:w="1424"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c>
          <w:tcPr>
            <w:tcW w:w="1203"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c>
          <w:tcPr>
            <w:tcW w:w="1197"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c>
          <w:tcPr>
            <w:tcW w:w="783"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c>
          <w:tcPr>
            <w:tcW w:w="783"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c>
          <w:tcPr>
            <w:tcW w:w="783"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c>
          <w:tcPr>
            <w:tcW w:w="783"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r>
      <w:tr>
        <w:tblPrEx>
          <w:tblCellMar>
            <w:top w:w="0" w:type="dxa"/>
            <w:left w:w="108" w:type="dxa"/>
            <w:bottom w:w="0" w:type="dxa"/>
            <w:right w:w="108" w:type="dxa"/>
          </w:tblCellMar>
        </w:tblPrEx>
        <w:trPr>
          <w:trHeight w:val="270" w:hRule="atLeast"/>
        </w:trPr>
        <w:tc>
          <w:tcPr>
            <w:tcW w:w="1810" w:type="dxa"/>
            <w:tcBorders>
              <w:top w:val="nil"/>
              <w:left w:val="single" w:color="auto" w:sz="4" w:space="0"/>
              <w:bottom w:val="single" w:color="auto" w:sz="4" w:space="0"/>
              <w:right w:val="single" w:color="auto" w:sz="4" w:space="0"/>
            </w:tcBorders>
            <w:noWrap w:val="0"/>
            <w:vAlign w:val="center"/>
          </w:tcPr>
          <w:p>
            <w:pPr>
              <w:pStyle w:val="17"/>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xml:space="preserve">           业务用房</w:t>
            </w:r>
          </w:p>
        </w:tc>
        <w:tc>
          <w:tcPr>
            <w:tcW w:w="854" w:type="dxa"/>
            <w:tcBorders>
              <w:top w:val="nil"/>
              <w:left w:val="nil"/>
              <w:bottom w:val="single" w:color="auto" w:sz="4" w:space="0"/>
              <w:right w:val="single" w:color="auto" w:sz="4" w:space="0"/>
            </w:tcBorders>
            <w:noWrap w:val="0"/>
            <w:vAlign w:val="center"/>
          </w:tcPr>
          <w:p>
            <w:pPr>
              <w:pStyle w:val="17"/>
              <w:widowControl/>
              <w:jc w:val="right"/>
              <w:rPr>
                <w:rFonts w:hint="default" w:ascii="微软雅黑" w:hAnsi="微软雅黑" w:eastAsia="微软雅黑" w:cs="宋体"/>
                <w:color w:val="000000"/>
                <w:kern w:val="0"/>
                <w:sz w:val="16"/>
                <w:szCs w:val="16"/>
                <w:lang w:val="en-US" w:eastAsia="zh-CN"/>
              </w:rPr>
            </w:pPr>
            <w:r>
              <w:rPr>
                <w:rFonts w:hint="eastAsia" w:ascii="微软雅黑" w:hAnsi="微软雅黑" w:eastAsia="微软雅黑" w:cs="宋体"/>
                <w:color w:val="000000"/>
                <w:kern w:val="0"/>
                <w:sz w:val="16"/>
                <w:szCs w:val="16"/>
                <w:lang w:val="en-US" w:eastAsia="zh-CN"/>
              </w:rPr>
              <w:t>3359.8</w:t>
            </w:r>
          </w:p>
        </w:tc>
        <w:tc>
          <w:tcPr>
            <w:tcW w:w="1424"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c>
          <w:tcPr>
            <w:tcW w:w="1203"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c>
          <w:tcPr>
            <w:tcW w:w="1197"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c>
          <w:tcPr>
            <w:tcW w:w="783"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c>
          <w:tcPr>
            <w:tcW w:w="783"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r>
      <w:tr>
        <w:tblPrEx>
          <w:tblCellMar>
            <w:top w:w="0" w:type="dxa"/>
            <w:left w:w="108" w:type="dxa"/>
            <w:bottom w:w="0" w:type="dxa"/>
            <w:right w:w="108" w:type="dxa"/>
          </w:tblCellMar>
        </w:tblPrEx>
        <w:trPr>
          <w:trHeight w:val="270" w:hRule="atLeast"/>
        </w:trPr>
        <w:tc>
          <w:tcPr>
            <w:tcW w:w="1810" w:type="dxa"/>
            <w:tcBorders>
              <w:top w:val="nil"/>
              <w:left w:val="single" w:color="auto" w:sz="4" w:space="0"/>
              <w:bottom w:val="single" w:color="auto" w:sz="4" w:space="0"/>
              <w:right w:val="single" w:color="auto" w:sz="4" w:space="0"/>
            </w:tcBorders>
            <w:noWrap w:val="0"/>
            <w:vAlign w:val="center"/>
          </w:tcPr>
          <w:p>
            <w:pPr>
              <w:pStyle w:val="17"/>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xml:space="preserve">           其他用房</w:t>
            </w:r>
          </w:p>
        </w:tc>
        <w:tc>
          <w:tcPr>
            <w:tcW w:w="854" w:type="dxa"/>
            <w:tcBorders>
              <w:top w:val="nil"/>
              <w:left w:val="nil"/>
              <w:bottom w:val="single" w:color="auto" w:sz="4" w:space="0"/>
              <w:right w:val="single" w:color="auto" w:sz="4" w:space="0"/>
            </w:tcBorders>
            <w:noWrap w:val="0"/>
            <w:vAlign w:val="center"/>
          </w:tcPr>
          <w:p>
            <w:pPr>
              <w:pStyle w:val="17"/>
              <w:widowControl/>
              <w:jc w:val="right"/>
              <w:rPr>
                <w:rFonts w:hint="default" w:ascii="微软雅黑" w:hAnsi="微软雅黑" w:eastAsia="微软雅黑" w:cs="宋体"/>
                <w:color w:val="000000"/>
                <w:kern w:val="0"/>
                <w:sz w:val="16"/>
                <w:szCs w:val="16"/>
                <w:lang w:val="en-US" w:eastAsia="zh-CN"/>
              </w:rPr>
            </w:pPr>
            <w:r>
              <w:rPr>
                <w:rFonts w:hint="eastAsia" w:ascii="微软雅黑" w:hAnsi="微软雅黑" w:eastAsia="微软雅黑" w:cs="宋体"/>
                <w:color w:val="000000"/>
                <w:kern w:val="0"/>
                <w:sz w:val="16"/>
                <w:szCs w:val="16"/>
                <w:lang w:val="en-US" w:eastAsia="zh-CN"/>
              </w:rPr>
              <w:t>1224.34</w:t>
            </w:r>
          </w:p>
        </w:tc>
        <w:tc>
          <w:tcPr>
            <w:tcW w:w="1424"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c>
          <w:tcPr>
            <w:tcW w:w="1203"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c>
          <w:tcPr>
            <w:tcW w:w="1197"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c>
          <w:tcPr>
            <w:tcW w:w="783"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c>
          <w:tcPr>
            <w:tcW w:w="783"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r>
      <w:tr>
        <w:tblPrEx>
          <w:tblCellMar>
            <w:top w:w="0" w:type="dxa"/>
            <w:left w:w="108" w:type="dxa"/>
            <w:bottom w:w="0" w:type="dxa"/>
            <w:right w:w="108" w:type="dxa"/>
          </w:tblCellMar>
        </w:tblPrEx>
        <w:trPr>
          <w:trHeight w:val="540" w:hRule="atLeast"/>
        </w:trPr>
        <w:tc>
          <w:tcPr>
            <w:tcW w:w="1810" w:type="dxa"/>
            <w:tcBorders>
              <w:top w:val="nil"/>
              <w:left w:val="single" w:color="auto" w:sz="4" w:space="0"/>
              <w:bottom w:val="single" w:color="auto" w:sz="4" w:space="0"/>
              <w:right w:val="single" w:color="auto" w:sz="4" w:space="0"/>
            </w:tcBorders>
            <w:noWrap w:val="0"/>
            <w:vAlign w:val="center"/>
          </w:tcPr>
          <w:p>
            <w:pPr>
              <w:pStyle w:val="17"/>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（二）设备（个、台、辆等）</w:t>
            </w:r>
          </w:p>
        </w:tc>
        <w:tc>
          <w:tcPr>
            <w:tcW w:w="854" w:type="dxa"/>
            <w:tcBorders>
              <w:top w:val="nil"/>
              <w:left w:val="nil"/>
              <w:bottom w:val="single" w:color="auto" w:sz="4" w:space="0"/>
              <w:right w:val="single" w:color="auto" w:sz="4" w:space="0"/>
            </w:tcBorders>
            <w:noWrap w:val="0"/>
            <w:vAlign w:val="center"/>
          </w:tcPr>
          <w:p>
            <w:pPr>
              <w:pStyle w:val="17"/>
              <w:widowControl/>
              <w:jc w:val="right"/>
              <w:rPr>
                <w:rFonts w:hint="default" w:ascii="微软雅黑" w:hAnsi="微软雅黑" w:eastAsia="微软雅黑" w:cs="宋体"/>
                <w:color w:val="000000"/>
                <w:kern w:val="0"/>
                <w:sz w:val="16"/>
                <w:szCs w:val="16"/>
                <w:lang w:val="en-US" w:eastAsia="zh-CN"/>
              </w:rPr>
            </w:pPr>
            <w:r>
              <w:rPr>
                <w:rFonts w:hint="eastAsia" w:ascii="微软雅黑" w:hAnsi="微软雅黑" w:eastAsia="微软雅黑" w:cs="宋体"/>
                <w:color w:val="000000"/>
                <w:kern w:val="0"/>
                <w:sz w:val="16"/>
                <w:szCs w:val="16"/>
                <w:lang w:val="en-US" w:eastAsia="zh-CN"/>
              </w:rPr>
              <w:t>616</w:t>
            </w:r>
          </w:p>
        </w:tc>
        <w:tc>
          <w:tcPr>
            <w:tcW w:w="1424" w:type="dxa"/>
            <w:tcBorders>
              <w:top w:val="nil"/>
              <w:left w:val="nil"/>
              <w:bottom w:val="single" w:color="auto" w:sz="4" w:space="0"/>
              <w:right w:val="single" w:color="auto" w:sz="4" w:space="0"/>
            </w:tcBorders>
            <w:noWrap w:val="0"/>
            <w:vAlign w:val="center"/>
          </w:tcPr>
          <w:p>
            <w:pPr>
              <w:pStyle w:val="17"/>
              <w:keepNext w:val="0"/>
              <w:keepLines w:val="0"/>
              <w:widowControl/>
              <w:suppressLineNumbers w:val="0"/>
              <w:jc w:val="right"/>
              <w:textAlignment w:val="center"/>
              <w:rPr>
                <w:rFonts w:hint="default" w:ascii="Calibri" w:hAnsi="Calibri" w:eastAsia="宋体" w:cs="Calibri"/>
                <w:i w:val="0"/>
                <w:color w:val="000000"/>
                <w:kern w:val="2"/>
                <w:sz w:val="28"/>
                <w:szCs w:val="28"/>
                <w:u w:val="none"/>
                <w:lang w:val="en-US" w:eastAsia="zh-CN" w:bidi="ar-SA"/>
              </w:rPr>
            </w:pPr>
            <w:r>
              <w:rPr>
                <w:rFonts w:hint="default" w:ascii="微软雅黑" w:hAnsi="微软雅黑" w:eastAsia="微软雅黑" w:cs="宋体"/>
                <w:color w:val="000000"/>
                <w:kern w:val="0"/>
                <w:sz w:val="16"/>
                <w:szCs w:val="16"/>
                <w:lang w:val="en-US" w:eastAsia="zh-CN"/>
              </w:rPr>
              <w:t>18,293,852.57</w:t>
            </w:r>
            <w:r>
              <w:rPr>
                <w:rFonts w:hint="default" w:ascii="Calibri" w:hAnsi="Calibri" w:eastAsia="宋体" w:cs="Calibri"/>
                <w:i w:val="0"/>
                <w:color w:val="000000"/>
                <w:kern w:val="0"/>
                <w:sz w:val="28"/>
                <w:szCs w:val="28"/>
                <w:u w:val="none"/>
                <w:lang w:val="en-US" w:eastAsia="zh-CN" w:bidi="zh-HK"/>
              </w:rPr>
              <w:t xml:space="preserve"> </w:t>
            </w:r>
          </w:p>
        </w:tc>
        <w:tc>
          <w:tcPr>
            <w:tcW w:w="1203" w:type="dxa"/>
            <w:tcBorders>
              <w:top w:val="nil"/>
              <w:left w:val="nil"/>
              <w:bottom w:val="single" w:color="auto" w:sz="4" w:space="0"/>
              <w:right w:val="single" w:color="auto" w:sz="4" w:space="0"/>
            </w:tcBorders>
            <w:noWrap w:val="0"/>
            <w:vAlign w:val="center"/>
          </w:tcPr>
          <w:p>
            <w:pPr>
              <w:pStyle w:val="17"/>
              <w:keepNext w:val="0"/>
              <w:keepLines w:val="0"/>
              <w:widowControl/>
              <w:suppressLineNumbers w:val="0"/>
              <w:jc w:val="right"/>
              <w:textAlignment w:val="center"/>
              <w:rPr>
                <w:rFonts w:hint="default" w:ascii="Calibri" w:hAnsi="Calibri" w:eastAsia="宋体" w:cs="Calibri"/>
                <w:i w:val="0"/>
                <w:color w:val="000000"/>
                <w:kern w:val="2"/>
                <w:sz w:val="28"/>
                <w:szCs w:val="28"/>
                <w:u w:val="none"/>
                <w:lang w:val="en-US" w:eastAsia="zh-CN" w:bidi="ar-SA"/>
              </w:rPr>
            </w:pPr>
            <w:r>
              <w:rPr>
                <w:rFonts w:hint="default" w:ascii="微软雅黑" w:hAnsi="微软雅黑" w:eastAsia="微软雅黑" w:cs="宋体"/>
                <w:color w:val="000000"/>
                <w:kern w:val="0"/>
                <w:sz w:val="16"/>
                <w:szCs w:val="16"/>
                <w:lang w:val="en-US" w:eastAsia="zh-CN"/>
              </w:rPr>
              <w:t>13,021,313.09</w:t>
            </w:r>
            <w:r>
              <w:rPr>
                <w:rFonts w:hint="default" w:ascii="Calibri" w:hAnsi="Calibri" w:eastAsia="宋体" w:cs="Calibri"/>
                <w:i w:val="0"/>
                <w:color w:val="000000"/>
                <w:kern w:val="0"/>
                <w:sz w:val="28"/>
                <w:szCs w:val="28"/>
                <w:u w:val="none"/>
                <w:lang w:val="en-US" w:eastAsia="zh-CN" w:bidi="zh-HK"/>
              </w:rPr>
              <w:t xml:space="preserve"> </w:t>
            </w:r>
          </w:p>
        </w:tc>
        <w:tc>
          <w:tcPr>
            <w:tcW w:w="1197" w:type="dxa"/>
            <w:tcBorders>
              <w:top w:val="nil"/>
              <w:left w:val="nil"/>
              <w:bottom w:val="single" w:color="auto" w:sz="4" w:space="0"/>
              <w:right w:val="single" w:color="auto" w:sz="4" w:space="0"/>
            </w:tcBorders>
            <w:noWrap w:val="0"/>
            <w:vAlign w:val="center"/>
          </w:tcPr>
          <w:p>
            <w:pPr>
              <w:pStyle w:val="17"/>
              <w:keepNext w:val="0"/>
              <w:keepLines w:val="0"/>
              <w:widowControl/>
              <w:suppressLineNumbers w:val="0"/>
              <w:jc w:val="right"/>
              <w:textAlignment w:val="center"/>
              <w:rPr>
                <w:rFonts w:hint="default" w:ascii="微软雅黑" w:hAnsi="微软雅黑" w:eastAsia="微软雅黑" w:cs="宋体"/>
                <w:color w:val="000000"/>
                <w:kern w:val="0"/>
                <w:sz w:val="16"/>
                <w:szCs w:val="16"/>
                <w:lang w:val="en-US" w:eastAsia="zh-CN"/>
              </w:rPr>
            </w:pPr>
            <w:r>
              <w:rPr>
                <w:rFonts w:hint="default" w:ascii="微软雅黑" w:hAnsi="微软雅黑" w:eastAsia="微软雅黑" w:cs="宋体"/>
                <w:color w:val="000000"/>
                <w:kern w:val="0"/>
                <w:sz w:val="16"/>
                <w:szCs w:val="16"/>
                <w:lang w:val="en-US" w:eastAsia="zh-CN"/>
              </w:rPr>
              <w:t>5,272,539.48</w:t>
            </w:r>
            <w:r>
              <w:rPr>
                <w:rFonts w:hint="default" w:ascii="Calibri" w:hAnsi="Calibri" w:eastAsia="宋体" w:cs="Calibri"/>
                <w:i w:val="0"/>
                <w:color w:val="000000"/>
                <w:kern w:val="0"/>
                <w:sz w:val="28"/>
                <w:szCs w:val="28"/>
                <w:u w:val="none"/>
                <w:lang w:val="en-US" w:eastAsia="zh-CN" w:bidi="zh-HK"/>
              </w:rPr>
              <w:t xml:space="preserve"> </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r>
      <w:tr>
        <w:tblPrEx>
          <w:tblCellMar>
            <w:top w:w="0" w:type="dxa"/>
            <w:left w:w="108" w:type="dxa"/>
            <w:bottom w:w="0" w:type="dxa"/>
            <w:right w:w="108" w:type="dxa"/>
          </w:tblCellMar>
        </w:tblPrEx>
        <w:trPr>
          <w:trHeight w:val="270" w:hRule="atLeast"/>
        </w:trPr>
        <w:tc>
          <w:tcPr>
            <w:tcW w:w="1810" w:type="dxa"/>
            <w:tcBorders>
              <w:top w:val="nil"/>
              <w:left w:val="single" w:color="auto" w:sz="4" w:space="0"/>
              <w:bottom w:val="single" w:color="auto" w:sz="4" w:space="0"/>
              <w:right w:val="single" w:color="auto" w:sz="4" w:space="0"/>
            </w:tcBorders>
            <w:noWrap w:val="0"/>
            <w:vAlign w:val="center"/>
          </w:tcPr>
          <w:p>
            <w:pPr>
              <w:pStyle w:val="17"/>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其中：1.车辆</w:t>
            </w:r>
          </w:p>
        </w:tc>
        <w:tc>
          <w:tcPr>
            <w:tcW w:w="854"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5.00</w:t>
            </w:r>
          </w:p>
        </w:tc>
        <w:tc>
          <w:tcPr>
            <w:tcW w:w="1424" w:type="dxa"/>
            <w:tcBorders>
              <w:top w:val="nil"/>
              <w:left w:val="nil"/>
              <w:bottom w:val="single" w:color="auto" w:sz="4" w:space="0"/>
              <w:right w:val="single" w:color="auto" w:sz="4" w:space="0"/>
            </w:tcBorders>
            <w:noWrap w:val="0"/>
            <w:vAlign w:val="center"/>
          </w:tcPr>
          <w:p>
            <w:pPr>
              <w:pStyle w:val="17"/>
              <w:widowControl/>
              <w:jc w:val="right"/>
              <w:rPr>
                <w:rFonts w:hint="default" w:ascii="微软雅黑" w:hAnsi="微软雅黑" w:eastAsia="微软雅黑" w:cs="宋体"/>
                <w:color w:val="000000"/>
                <w:kern w:val="0"/>
                <w:sz w:val="16"/>
                <w:szCs w:val="16"/>
                <w:lang w:val="en-US" w:eastAsia="zh-CN"/>
              </w:rPr>
            </w:pPr>
            <w:r>
              <w:rPr>
                <w:rFonts w:hint="eastAsia" w:ascii="微软雅黑" w:hAnsi="微软雅黑" w:eastAsia="微软雅黑" w:cs="宋体"/>
                <w:color w:val="000000"/>
                <w:kern w:val="0"/>
                <w:sz w:val="16"/>
                <w:szCs w:val="16"/>
                <w:lang w:val="en-US" w:eastAsia="zh-CN"/>
              </w:rPr>
              <w:t>1124890.27</w:t>
            </w:r>
          </w:p>
        </w:tc>
        <w:tc>
          <w:tcPr>
            <w:tcW w:w="1203" w:type="dxa"/>
            <w:tcBorders>
              <w:top w:val="nil"/>
              <w:left w:val="nil"/>
              <w:bottom w:val="single" w:color="auto" w:sz="4" w:space="0"/>
              <w:right w:val="single" w:color="auto" w:sz="4" w:space="0"/>
            </w:tcBorders>
            <w:noWrap w:val="0"/>
            <w:vAlign w:val="center"/>
          </w:tcPr>
          <w:p>
            <w:pPr>
              <w:pStyle w:val="17"/>
              <w:keepNext w:val="0"/>
              <w:keepLines w:val="0"/>
              <w:widowControl/>
              <w:suppressLineNumbers w:val="0"/>
              <w:jc w:val="right"/>
              <w:textAlignment w:val="center"/>
              <w:rPr>
                <w:rFonts w:hint="default" w:ascii="Calibri" w:hAnsi="Calibri" w:eastAsia="宋体" w:cs="Calibri"/>
                <w:i w:val="0"/>
                <w:color w:val="000000"/>
                <w:kern w:val="2"/>
                <w:sz w:val="28"/>
                <w:szCs w:val="28"/>
                <w:u w:val="none"/>
                <w:lang w:val="en-US" w:eastAsia="zh-CN" w:bidi="ar-SA"/>
              </w:rPr>
            </w:pPr>
            <w:r>
              <w:rPr>
                <w:rFonts w:hint="default" w:ascii="微软雅黑" w:hAnsi="微软雅黑" w:eastAsia="微软雅黑" w:cs="宋体"/>
                <w:color w:val="000000"/>
                <w:kern w:val="0"/>
                <w:sz w:val="16"/>
                <w:szCs w:val="16"/>
                <w:lang w:val="en-US" w:eastAsia="zh-CN"/>
              </w:rPr>
              <w:t>675,182.93</w:t>
            </w:r>
            <w:r>
              <w:rPr>
                <w:rFonts w:hint="default" w:ascii="Calibri" w:hAnsi="Calibri" w:eastAsia="宋体" w:cs="Calibri"/>
                <w:i w:val="0"/>
                <w:color w:val="000000"/>
                <w:kern w:val="0"/>
                <w:sz w:val="28"/>
                <w:szCs w:val="28"/>
                <w:u w:val="none"/>
                <w:lang w:val="en-US" w:eastAsia="zh-CN" w:bidi="zh-HK"/>
              </w:rPr>
              <w:t xml:space="preserve"> </w:t>
            </w:r>
          </w:p>
        </w:tc>
        <w:tc>
          <w:tcPr>
            <w:tcW w:w="1197" w:type="dxa"/>
            <w:tcBorders>
              <w:top w:val="nil"/>
              <w:left w:val="nil"/>
              <w:bottom w:val="single" w:color="auto" w:sz="4" w:space="0"/>
              <w:right w:val="single" w:color="auto" w:sz="4" w:space="0"/>
            </w:tcBorders>
            <w:noWrap w:val="0"/>
            <w:vAlign w:val="center"/>
          </w:tcPr>
          <w:p>
            <w:pPr>
              <w:pStyle w:val="17"/>
              <w:keepNext w:val="0"/>
              <w:keepLines w:val="0"/>
              <w:widowControl/>
              <w:suppressLineNumbers w:val="0"/>
              <w:jc w:val="right"/>
              <w:textAlignment w:val="center"/>
              <w:rPr>
                <w:rFonts w:hint="default" w:ascii="微软雅黑" w:hAnsi="微软雅黑" w:eastAsia="微软雅黑" w:cs="宋体"/>
                <w:color w:val="000000"/>
                <w:kern w:val="0"/>
                <w:sz w:val="16"/>
                <w:szCs w:val="16"/>
                <w:lang w:val="en-US" w:eastAsia="zh-CN"/>
              </w:rPr>
            </w:pPr>
            <w:r>
              <w:rPr>
                <w:rFonts w:hint="default" w:ascii="微软雅黑" w:hAnsi="微软雅黑" w:eastAsia="微软雅黑" w:cs="宋体"/>
                <w:color w:val="000000"/>
                <w:kern w:val="0"/>
                <w:sz w:val="16"/>
                <w:szCs w:val="16"/>
                <w:lang w:val="en-US" w:eastAsia="zh-CN"/>
              </w:rPr>
              <w:t>449,707.34</w:t>
            </w:r>
            <w:r>
              <w:rPr>
                <w:rFonts w:hint="default" w:ascii="Calibri" w:hAnsi="Calibri" w:eastAsia="宋体" w:cs="Calibri"/>
                <w:i w:val="0"/>
                <w:color w:val="000000"/>
                <w:kern w:val="0"/>
                <w:sz w:val="28"/>
                <w:szCs w:val="28"/>
                <w:u w:val="none"/>
                <w:lang w:val="en-US" w:eastAsia="zh-CN" w:bidi="zh-HK"/>
              </w:rPr>
              <w:t xml:space="preserve"> </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r>
      <w:tr>
        <w:tblPrEx>
          <w:tblCellMar>
            <w:top w:w="0" w:type="dxa"/>
            <w:left w:w="108" w:type="dxa"/>
            <w:bottom w:w="0" w:type="dxa"/>
            <w:right w:w="108" w:type="dxa"/>
          </w:tblCellMar>
        </w:tblPrEx>
        <w:trPr>
          <w:trHeight w:val="540" w:hRule="atLeast"/>
        </w:trPr>
        <w:tc>
          <w:tcPr>
            <w:tcW w:w="1810" w:type="dxa"/>
            <w:tcBorders>
              <w:top w:val="nil"/>
              <w:left w:val="single" w:color="auto" w:sz="4" w:space="0"/>
              <w:bottom w:val="single" w:color="auto" w:sz="4" w:space="0"/>
              <w:right w:val="single" w:color="auto" w:sz="4" w:space="0"/>
            </w:tcBorders>
            <w:noWrap w:val="0"/>
            <w:vAlign w:val="center"/>
          </w:tcPr>
          <w:p>
            <w:pPr>
              <w:pStyle w:val="17"/>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2.单价</w:t>
            </w:r>
            <w:r>
              <w:rPr>
                <w:rFonts w:hint="eastAsia" w:ascii="微软雅黑" w:hAnsi="微软雅黑" w:eastAsia="微软雅黑" w:cs="宋体"/>
                <w:color w:val="000000"/>
                <w:kern w:val="0"/>
                <w:sz w:val="16"/>
                <w:szCs w:val="16"/>
                <w:lang w:val="en-US" w:eastAsia="zh-CN"/>
              </w:rPr>
              <w:t>10</w:t>
            </w:r>
            <w:r>
              <w:rPr>
                <w:rFonts w:hint="eastAsia" w:ascii="微软雅黑" w:hAnsi="微软雅黑" w:eastAsia="微软雅黑" w:cs="宋体"/>
                <w:color w:val="000000"/>
                <w:kern w:val="0"/>
                <w:sz w:val="16"/>
                <w:szCs w:val="16"/>
              </w:rPr>
              <w:t>0万（含）以上（不含车辆）</w:t>
            </w:r>
          </w:p>
        </w:tc>
        <w:tc>
          <w:tcPr>
            <w:tcW w:w="854" w:type="dxa"/>
            <w:tcBorders>
              <w:top w:val="nil"/>
              <w:left w:val="nil"/>
              <w:bottom w:val="single" w:color="auto" w:sz="4" w:space="0"/>
              <w:right w:val="single" w:color="auto" w:sz="4" w:space="0"/>
            </w:tcBorders>
            <w:noWrap w:val="0"/>
            <w:vAlign w:val="center"/>
          </w:tcPr>
          <w:p>
            <w:pPr>
              <w:pStyle w:val="17"/>
              <w:widowControl/>
              <w:jc w:val="right"/>
              <w:rPr>
                <w:rFonts w:hint="default" w:ascii="微软雅黑" w:hAnsi="微软雅黑" w:eastAsia="微软雅黑" w:cs="宋体"/>
                <w:color w:val="000000"/>
                <w:kern w:val="0"/>
                <w:sz w:val="16"/>
                <w:szCs w:val="16"/>
                <w:lang w:val="en-US" w:eastAsia="zh-CN"/>
              </w:rPr>
            </w:pPr>
            <w:r>
              <w:rPr>
                <w:rFonts w:hint="eastAsia" w:ascii="微软雅黑" w:hAnsi="微软雅黑" w:eastAsia="微软雅黑" w:cs="宋体"/>
                <w:color w:val="000000"/>
                <w:kern w:val="0"/>
                <w:sz w:val="16"/>
                <w:szCs w:val="16"/>
                <w:lang w:val="en-US" w:eastAsia="zh-CN"/>
              </w:rPr>
              <w:t>2</w:t>
            </w:r>
          </w:p>
        </w:tc>
        <w:tc>
          <w:tcPr>
            <w:tcW w:w="1424" w:type="dxa"/>
            <w:tcBorders>
              <w:top w:val="nil"/>
              <w:left w:val="nil"/>
              <w:bottom w:val="single" w:color="auto" w:sz="4" w:space="0"/>
              <w:right w:val="single" w:color="auto" w:sz="4" w:space="0"/>
            </w:tcBorders>
            <w:noWrap w:val="0"/>
            <w:vAlign w:val="center"/>
          </w:tcPr>
          <w:p>
            <w:pPr>
              <w:pStyle w:val="17"/>
              <w:keepNext w:val="0"/>
              <w:keepLines w:val="0"/>
              <w:widowControl/>
              <w:suppressLineNumbers w:val="0"/>
              <w:jc w:val="right"/>
              <w:textAlignment w:val="center"/>
              <w:rPr>
                <w:rFonts w:hint="eastAsia" w:ascii="微软雅黑" w:hAnsi="微软雅黑" w:eastAsia="微软雅黑" w:cs="宋体"/>
                <w:color w:val="000000"/>
                <w:kern w:val="0"/>
                <w:sz w:val="16"/>
                <w:szCs w:val="16"/>
                <w:lang w:val="en-US" w:eastAsia="zh-CN"/>
              </w:rPr>
            </w:pPr>
          </w:p>
          <w:p>
            <w:pPr>
              <w:pStyle w:val="17"/>
              <w:keepNext w:val="0"/>
              <w:keepLines w:val="0"/>
              <w:widowControl/>
              <w:suppressLineNumbers w:val="0"/>
              <w:jc w:val="right"/>
              <w:textAlignment w:val="center"/>
              <w:rPr>
                <w:rFonts w:hint="default" w:ascii="微软雅黑" w:hAnsi="微软雅黑" w:eastAsia="微软雅黑" w:cs="宋体"/>
                <w:color w:val="000000"/>
                <w:kern w:val="0"/>
                <w:sz w:val="16"/>
                <w:szCs w:val="16"/>
                <w:lang w:val="en-US" w:eastAsia="zh-CN"/>
              </w:rPr>
            </w:pPr>
            <w:r>
              <w:rPr>
                <w:rFonts w:hint="eastAsia" w:ascii="微软雅黑" w:hAnsi="微软雅黑" w:eastAsia="微软雅黑" w:cs="宋体"/>
                <w:color w:val="000000"/>
                <w:kern w:val="0"/>
                <w:sz w:val="16"/>
                <w:szCs w:val="16"/>
                <w:lang w:val="en-US" w:eastAsia="zh-CN"/>
              </w:rPr>
              <w:t>2341563.2</w:t>
            </w:r>
          </w:p>
        </w:tc>
        <w:tc>
          <w:tcPr>
            <w:tcW w:w="1203" w:type="dxa"/>
            <w:tcBorders>
              <w:top w:val="nil"/>
              <w:left w:val="nil"/>
              <w:bottom w:val="single" w:color="auto" w:sz="4" w:space="0"/>
              <w:right w:val="single" w:color="auto" w:sz="4" w:space="0"/>
            </w:tcBorders>
            <w:noWrap w:val="0"/>
            <w:vAlign w:val="center"/>
          </w:tcPr>
          <w:p>
            <w:pPr>
              <w:pStyle w:val="17"/>
              <w:keepNext w:val="0"/>
              <w:keepLines w:val="0"/>
              <w:widowControl/>
              <w:suppressLineNumbers w:val="0"/>
              <w:jc w:val="right"/>
              <w:textAlignment w:val="center"/>
              <w:rPr>
                <w:rFonts w:hint="default" w:ascii="微软雅黑" w:hAnsi="微软雅黑" w:eastAsia="微软雅黑" w:cs="宋体"/>
                <w:color w:val="000000"/>
                <w:kern w:val="0"/>
                <w:sz w:val="16"/>
                <w:szCs w:val="16"/>
                <w:lang w:val="en-US" w:eastAsia="zh-CN"/>
              </w:rPr>
            </w:pPr>
            <w:r>
              <w:rPr>
                <w:rFonts w:hint="default" w:ascii="微软雅黑" w:hAnsi="微软雅黑" w:eastAsia="微软雅黑" w:cs="宋体"/>
                <w:color w:val="000000"/>
                <w:kern w:val="0"/>
                <w:sz w:val="16"/>
                <w:szCs w:val="16"/>
                <w:lang w:val="en-US" w:eastAsia="zh-CN"/>
              </w:rPr>
              <w:t xml:space="preserve">1,571,914.36 </w:t>
            </w:r>
          </w:p>
        </w:tc>
        <w:tc>
          <w:tcPr>
            <w:tcW w:w="1197" w:type="dxa"/>
            <w:tcBorders>
              <w:top w:val="nil"/>
              <w:left w:val="nil"/>
              <w:bottom w:val="single" w:color="auto" w:sz="4" w:space="0"/>
              <w:right w:val="single" w:color="auto" w:sz="4" w:space="0"/>
            </w:tcBorders>
            <w:noWrap w:val="0"/>
            <w:vAlign w:val="center"/>
          </w:tcPr>
          <w:p>
            <w:pPr>
              <w:pStyle w:val="17"/>
              <w:keepNext w:val="0"/>
              <w:keepLines w:val="0"/>
              <w:widowControl/>
              <w:suppressLineNumbers w:val="0"/>
              <w:jc w:val="right"/>
              <w:textAlignment w:val="center"/>
              <w:rPr>
                <w:rFonts w:hint="default" w:ascii="微软雅黑" w:hAnsi="微软雅黑" w:eastAsia="微软雅黑" w:cs="宋体"/>
                <w:color w:val="000000"/>
                <w:kern w:val="0"/>
                <w:sz w:val="16"/>
                <w:szCs w:val="16"/>
                <w:lang w:val="en-US" w:eastAsia="zh-CN"/>
              </w:rPr>
            </w:pPr>
            <w:r>
              <w:rPr>
                <w:rFonts w:hint="default" w:ascii="微软雅黑" w:hAnsi="微软雅黑" w:eastAsia="微软雅黑" w:cs="宋体"/>
                <w:color w:val="000000"/>
                <w:kern w:val="0"/>
                <w:sz w:val="16"/>
                <w:szCs w:val="16"/>
                <w:lang w:val="en-US" w:eastAsia="zh-CN"/>
              </w:rPr>
              <w:t>769,648.84</w:t>
            </w:r>
            <w:r>
              <w:rPr>
                <w:rFonts w:hint="default" w:ascii="Calibri" w:hAnsi="Calibri" w:eastAsia="宋体" w:cs="Calibri"/>
                <w:i w:val="0"/>
                <w:color w:val="000000"/>
                <w:kern w:val="0"/>
                <w:sz w:val="28"/>
                <w:szCs w:val="28"/>
                <w:u w:val="none"/>
                <w:lang w:val="en-US" w:eastAsia="zh-CN" w:bidi="zh-HK"/>
              </w:rPr>
              <w:t xml:space="preserve"> </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r>
      <w:tr>
        <w:tblPrEx>
          <w:tblCellMar>
            <w:top w:w="0" w:type="dxa"/>
            <w:left w:w="108" w:type="dxa"/>
            <w:bottom w:w="0" w:type="dxa"/>
            <w:right w:w="108" w:type="dxa"/>
          </w:tblCellMar>
        </w:tblPrEx>
        <w:trPr>
          <w:trHeight w:val="540" w:hRule="atLeast"/>
        </w:trPr>
        <w:tc>
          <w:tcPr>
            <w:tcW w:w="1810" w:type="dxa"/>
            <w:tcBorders>
              <w:top w:val="nil"/>
              <w:left w:val="single" w:color="auto" w:sz="4" w:space="0"/>
              <w:bottom w:val="single" w:color="auto" w:sz="4" w:space="0"/>
              <w:right w:val="single" w:color="auto" w:sz="4" w:space="0"/>
            </w:tcBorders>
            <w:noWrap w:val="0"/>
            <w:vAlign w:val="center"/>
          </w:tcPr>
          <w:p>
            <w:pPr>
              <w:pStyle w:val="17"/>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r>
              <w:rPr>
                <w:rFonts w:hint="eastAsia" w:ascii="微软雅黑" w:hAnsi="微软雅黑" w:eastAsia="微软雅黑" w:cs="宋体"/>
                <w:color w:val="000000"/>
                <w:kern w:val="0"/>
                <w:sz w:val="16"/>
                <w:szCs w:val="16"/>
                <w:lang w:eastAsia="zh-CN"/>
              </w:rPr>
              <w:t>三</w:t>
            </w:r>
            <w:r>
              <w:rPr>
                <w:rFonts w:hint="eastAsia" w:ascii="微软雅黑" w:hAnsi="微软雅黑" w:eastAsia="微软雅黑" w:cs="宋体"/>
                <w:color w:val="000000"/>
                <w:kern w:val="0"/>
                <w:sz w:val="16"/>
                <w:szCs w:val="16"/>
              </w:rPr>
              <w:t>）家具、用具、装具及动植物（个、套等）</w:t>
            </w:r>
          </w:p>
        </w:tc>
        <w:tc>
          <w:tcPr>
            <w:tcW w:w="854" w:type="dxa"/>
            <w:tcBorders>
              <w:top w:val="nil"/>
              <w:left w:val="nil"/>
              <w:bottom w:val="single" w:color="auto" w:sz="4" w:space="0"/>
              <w:right w:val="single" w:color="auto" w:sz="4" w:space="0"/>
            </w:tcBorders>
            <w:noWrap w:val="0"/>
            <w:vAlign w:val="center"/>
          </w:tcPr>
          <w:p>
            <w:pPr>
              <w:pStyle w:val="17"/>
              <w:widowControl/>
              <w:jc w:val="right"/>
              <w:rPr>
                <w:rFonts w:hint="default" w:ascii="微软雅黑" w:hAnsi="微软雅黑" w:eastAsia="微软雅黑" w:cs="宋体"/>
                <w:color w:val="000000"/>
                <w:kern w:val="0"/>
                <w:sz w:val="16"/>
                <w:szCs w:val="16"/>
                <w:lang w:val="en-US"/>
              </w:rPr>
            </w:pPr>
            <w:r>
              <w:rPr>
                <w:rFonts w:hint="eastAsia" w:ascii="微软雅黑" w:hAnsi="微软雅黑" w:eastAsia="微软雅黑" w:cs="宋体"/>
                <w:color w:val="000000"/>
                <w:kern w:val="0"/>
                <w:sz w:val="16"/>
                <w:szCs w:val="16"/>
                <w:lang w:val="en-US" w:eastAsia="zh-CN"/>
              </w:rPr>
              <w:t>680</w:t>
            </w:r>
          </w:p>
        </w:tc>
        <w:tc>
          <w:tcPr>
            <w:tcW w:w="1424" w:type="dxa"/>
            <w:tcBorders>
              <w:top w:val="nil"/>
              <w:left w:val="nil"/>
              <w:bottom w:val="single" w:color="auto" w:sz="4" w:space="0"/>
              <w:right w:val="single" w:color="auto" w:sz="4" w:space="0"/>
            </w:tcBorders>
            <w:noWrap w:val="0"/>
            <w:vAlign w:val="center"/>
          </w:tcPr>
          <w:p>
            <w:pPr>
              <w:pStyle w:val="17"/>
              <w:keepNext w:val="0"/>
              <w:keepLines w:val="0"/>
              <w:widowControl/>
              <w:suppressLineNumbers w:val="0"/>
              <w:jc w:val="right"/>
              <w:textAlignment w:val="center"/>
              <w:rPr>
                <w:rFonts w:hint="default" w:ascii="Calibri" w:hAnsi="Calibri" w:eastAsia="宋体" w:cs="Calibri"/>
                <w:i w:val="0"/>
                <w:color w:val="000000"/>
                <w:kern w:val="2"/>
                <w:sz w:val="28"/>
                <w:szCs w:val="28"/>
                <w:u w:val="none"/>
                <w:lang w:val="en-US" w:eastAsia="zh-CN" w:bidi="ar-SA"/>
              </w:rPr>
            </w:pPr>
            <w:r>
              <w:rPr>
                <w:rFonts w:hint="default" w:ascii="微软雅黑" w:hAnsi="微软雅黑" w:eastAsia="微软雅黑" w:cs="宋体"/>
                <w:color w:val="000000"/>
                <w:kern w:val="0"/>
                <w:sz w:val="16"/>
                <w:szCs w:val="16"/>
                <w:lang w:val="en-US" w:eastAsia="zh-CN"/>
              </w:rPr>
              <w:t xml:space="preserve">907,715.30 </w:t>
            </w:r>
          </w:p>
        </w:tc>
        <w:tc>
          <w:tcPr>
            <w:tcW w:w="1203" w:type="dxa"/>
            <w:tcBorders>
              <w:top w:val="nil"/>
              <w:left w:val="nil"/>
              <w:bottom w:val="single" w:color="auto" w:sz="4" w:space="0"/>
              <w:right w:val="single" w:color="auto" w:sz="4" w:space="0"/>
            </w:tcBorders>
            <w:noWrap w:val="0"/>
            <w:vAlign w:val="center"/>
          </w:tcPr>
          <w:p>
            <w:pPr>
              <w:pStyle w:val="17"/>
              <w:widowControl/>
              <w:jc w:val="right"/>
              <w:rPr>
                <w:rFonts w:hint="default" w:ascii="微软雅黑" w:hAnsi="微软雅黑" w:eastAsia="微软雅黑" w:cs="宋体"/>
                <w:color w:val="000000"/>
                <w:kern w:val="0"/>
                <w:sz w:val="16"/>
                <w:szCs w:val="16"/>
                <w:lang w:val="en-US" w:eastAsia="zh-CN"/>
              </w:rPr>
            </w:pPr>
            <w:r>
              <w:rPr>
                <w:rFonts w:hint="eastAsia" w:ascii="微软雅黑" w:hAnsi="微软雅黑" w:eastAsia="微软雅黑" w:cs="宋体"/>
                <w:color w:val="000000"/>
                <w:kern w:val="0"/>
                <w:sz w:val="16"/>
                <w:szCs w:val="16"/>
                <w:lang w:val="en-US" w:eastAsia="zh-CN"/>
              </w:rPr>
              <w:t>547117.17</w:t>
            </w:r>
          </w:p>
        </w:tc>
        <w:tc>
          <w:tcPr>
            <w:tcW w:w="1197" w:type="dxa"/>
            <w:tcBorders>
              <w:top w:val="nil"/>
              <w:left w:val="nil"/>
              <w:bottom w:val="single" w:color="auto" w:sz="4" w:space="0"/>
              <w:right w:val="single" w:color="auto" w:sz="4" w:space="0"/>
            </w:tcBorders>
            <w:noWrap w:val="0"/>
            <w:vAlign w:val="center"/>
          </w:tcPr>
          <w:p>
            <w:pPr>
              <w:pStyle w:val="17"/>
              <w:widowControl/>
              <w:jc w:val="right"/>
              <w:rPr>
                <w:rFonts w:hint="default" w:ascii="微软雅黑" w:hAnsi="微软雅黑" w:eastAsia="微软雅黑" w:cs="宋体"/>
                <w:color w:val="000000"/>
                <w:kern w:val="0"/>
                <w:sz w:val="16"/>
                <w:szCs w:val="16"/>
                <w:lang w:val="en-US" w:eastAsia="zh-CN"/>
              </w:rPr>
            </w:pPr>
            <w:r>
              <w:rPr>
                <w:rFonts w:hint="default" w:ascii="微软雅黑" w:hAnsi="微软雅黑" w:eastAsia="微软雅黑" w:cs="宋体"/>
                <w:color w:val="000000"/>
                <w:kern w:val="0"/>
                <w:sz w:val="16"/>
                <w:szCs w:val="16"/>
                <w:lang w:val="en-US" w:eastAsia="zh-CN"/>
              </w:rPr>
              <w:t xml:space="preserve">360,297.26 </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r>
      <w:tr>
        <w:tblPrEx>
          <w:tblCellMar>
            <w:top w:w="0" w:type="dxa"/>
            <w:left w:w="108" w:type="dxa"/>
            <w:bottom w:w="0" w:type="dxa"/>
            <w:right w:w="108" w:type="dxa"/>
          </w:tblCellMar>
        </w:tblPrEx>
        <w:trPr>
          <w:trHeight w:val="270" w:hRule="atLeast"/>
        </w:trPr>
        <w:tc>
          <w:tcPr>
            <w:tcW w:w="1810" w:type="dxa"/>
            <w:tcBorders>
              <w:top w:val="nil"/>
              <w:left w:val="single" w:color="auto" w:sz="4" w:space="0"/>
              <w:bottom w:val="single" w:color="auto" w:sz="4" w:space="0"/>
              <w:right w:val="single" w:color="auto" w:sz="4" w:space="0"/>
            </w:tcBorders>
            <w:noWrap w:val="0"/>
            <w:vAlign w:val="center"/>
          </w:tcPr>
          <w:p>
            <w:pPr>
              <w:pStyle w:val="17"/>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xml:space="preserve">    其中：家具用具</w:t>
            </w:r>
          </w:p>
        </w:tc>
        <w:tc>
          <w:tcPr>
            <w:tcW w:w="854" w:type="dxa"/>
            <w:tcBorders>
              <w:top w:val="nil"/>
              <w:left w:val="nil"/>
              <w:bottom w:val="single" w:color="auto" w:sz="4" w:space="0"/>
              <w:right w:val="single" w:color="auto" w:sz="4" w:space="0"/>
            </w:tcBorders>
            <w:noWrap w:val="0"/>
            <w:vAlign w:val="center"/>
          </w:tcPr>
          <w:p>
            <w:pPr>
              <w:pStyle w:val="17"/>
              <w:widowControl/>
              <w:jc w:val="right"/>
              <w:rPr>
                <w:rFonts w:hint="default" w:ascii="微软雅黑" w:hAnsi="微软雅黑" w:eastAsia="微软雅黑" w:cs="宋体"/>
                <w:color w:val="000000"/>
                <w:kern w:val="0"/>
                <w:sz w:val="16"/>
                <w:szCs w:val="16"/>
                <w:lang w:val="en-US"/>
              </w:rPr>
            </w:pPr>
            <w:r>
              <w:rPr>
                <w:rFonts w:hint="eastAsia" w:ascii="微软雅黑" w:hAnsi="微软雅黑" w:eastAsia="微软雅黑" w:cs="宋体"/>
                <w:color w:val="000000"/>
                <w:kern w:val="0"/>
                <w:sz w:val="16"/>
                <w:szCs w:val="16"/>
                <w:lang w:val="en-US" w:eastAsia="zh-CN"/>
              </w:rPr>
              <w:t>680</w:t>
            </w:r>
          </w:p>
        </w:tc>
        <w:tc>
          <w:tcPr>
            <w:tcW w:w="1424" w:type="dxa"/>
            <w:tcBorders>
              <w:top w:val="nil"/>
              <w:left w:val="nil"/>
              <w:bottom w:val="single" w:color="auto" w:sz="4" w:space="0"/>
              <w:right w:val="single" w:color="auto" w:sz="4" w:space="0"/>
            </w:tcBorders>
            <w:noWrap w:val="0"/>
            <w:vAlign w:val="center"/>
          </w:tcPr>
          <w:p>
            <w:pPr>
              <w:pStyle w:val="17"/>
              <w:widowControl/>
              <w:jc w:val="right"/>
              <w:rPr>
                <w:rFonts w:hint="default" w:ascii="微软雅黑" w:hAnsi="微软雅黑" w:eastAsia="微软雅黑" w:cs="宋体"/>
                <w:color w:val="000000"/>
                <w:kern w:val="0"/>
                <w:sz w:val="16"/>
                <w:szCs w:val="16"/>
                <w:lang w:val="en-US" w:eastAsia="zh-CN"/>
              </w:rPr>
            </w:pPr>
            <w:r>
              <w:rPr>
                <w:rFonts w:hint="default" w:ascii="微软雅黑" w:hAnsi="微软雅黑" w:eastAsia="微软雅黑" w:cs="宋体"/>
                <w:color w:val="000000"/>
                <w:kern w:val="0"/>
                <w:sz w:val="16"/>
                <w:szCs w:val="16"/>
                <w:lang w:val="en-US" w:eastAsia="zh-CN"/>
              </w:rPr>
              <w:t>907,715.30</w:t>
            </w:r>
          </w:p>
        </w:tc>
        <w:tc>
          <w:tcPr>
            <w:tcW w:w="1203" w:type="dxa"/>
            <w:tcBorders>
              <w:top w:val="nil"/>
              <w:left w:val="nil"/>
              <w:bottom w:val="single" w:color="auto" w:sz="4" w:space="0"/>
              <w:right w:val="single" w:color="auto" w:sz="4" w:space="0"/>
            </w:tcBorders>
            <w:noWrap w:val="0"/>
            <w:vAlign w:val="center"/>
          </w:tcPr>
          <w:p>
            <w:pPr>
              <w:pStyle w:val="17"/>
              <w:widowControl/>
              <w:jc w:val="right"/>
              <w:rPr>
                <w:rFonts w:hint="default" w:ascii="微软雅黑" w:hAnsi="微软雅黑" w:eastAsia="微软雅黑" w:cs="宋体"/>
                <w:color w:val="000000"/>
                <w:kern w:val="0"/>
                <w:sz w:val="16"/>
                <w:szCs w:val="16"/>
                <w:lang w:val="en-US" w:eastAsia="zh-CN"/>
              </w:rPr>
            </w:pPr>
            <w:r>
              <w:rPr>
                <w:rFonts w:hint="eastAsia" w:ascii="微软雅黑" w:hAnsi="微软雅黑" w:eastAsia="微软雅黑" w:cs="宋体"/>
                <w:color w:val="000000"/>
                <w:kern w:val="0"/>
                <w:sz w:val="16"/>
                <w:szCs w:val="16"/>
                <w:lang w:val="en-US" w:eastAsia="zh-CN"/>
              </w:rPr>
              <w:t>547117.17</w:t>
            </w:r>
          </w:p>
        </w:tc>
        <w:tc>
          <w:tcPr>
            <w:tcW w:w="1197" w:type="dxa"/>
            <w:tcBorders>
              <w:top w:val="nil"/>
              <w:left w:val="nil"/>
              <w:bottom w:val="single" w:color="auto" w:sz="4" w:space="0"/>
              <w:right w:val="single" w:color="auto" w:sz="4" w:space="0"/>
            </w:tcBorders>
            <w:noWrap w:val="0"/>
            <w:vAlign w:val="center"/>
          </w:tcPr>
          <w:p>
            <w:pPr>
              <w:pStyle w:val="17"/>
              <w:widowControl/>
              <w:jc w:val="right"/>
              <w:rPr>
                <w:rFonts w:hint="default" w:ascii="微软雅黑" w:hAnsi="微软雅黑" w:eastAsia="微软雅黑" w:cs="宋体"/>
                <w:color w:val="000000"/>
                <w:kern w:val="0"/>
                <w:sz w:val="16"/>
                <w:szCs w:val="16"/>
                <w:lang w:val="en-US" w:eastAsia="zh-CN"/>
              </w:rPr>
            </w:pPr>
            <w:r>
              <w:rPr>
                <w:rFonts w:hint="default" w:ascii="微软雅黑" w:hAnsi="微软雅黑" w:eastAsia="微软雅黑" w:cs="宋体"/>
                <w:color w:val="000000"/>
                <w:kern w:val="0"/>
                <w:sz w:val="16"/>
                <w:szCs w:val="16"/>
                <w:lang w:val="en-US" w:eastAsia="zh-CN"/>
              </w:rPr>
              <w:t xml:space="preserve">360,297.26 </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r>
      <w:tr>
        <w:tblPrEx>
          <w:tblCellMar>
            <w:top w:w="0" w:type="dxa"/>
            <w:left w:w="108" w:type="dxa"/>
            <w:bottom w:w="0" w:type="dxa"/>
            <w:right w:w="108" w:type="dxa"/>
          </w:tblCellMar>
        </w:tblPrEx>
        <w:trPr>
          <w:trHeight w:val="270" w:hRule="atLeast"/>
        </w:trPr>
        <w:tc>
          <w:tcPr>
            <w:tcW w:w="1810" w:type="dxa"/>
            <w:tcBorders>
              <w:top w:val="nil"/>
              <w:left w:val="single" w:color="auto" w:sz="4" w:space="0"/>
              <w:bottom w:val="single" w:color="auto" w:sz="4" w:space="0"/>
              <w:right w:val="single" w:color="auto" w:sz="4" w:space="0"/>
            </w:tcBorders>
            <w:noWrap w:val="0"/>
            <w:vAlign w:val="center"/>
          </w:tcPr>
          <w:p>
            <w:pPr>
              <w:pStyle w:val="17"/>
              <w:widowControl/>
              <w:jc w:val="left"/>
              <w:rPr>
                <w:rFonts w:ascii="微软雅黑" w:hAnsi="微软雅黑" w:eastAsia="微软雅黑" w:cs="宋体"/>
                <w:b/>
                <w:bCs/>
                <w:color w:val="000000"/>
                <w:kern w:val="0"/>
                <w:sz w:val="16"/>
                <w:szCs w:val="16"/>
              </w:rPr>
            </w:pPr>
            <w:r>
              <w:rPr>
                <w:rFonts w:hint="eastAsia" w:ascii="微软雅黑" w:hAnsi="微软雅黑" w:eastAsia="微软雅黑" w:cs="宋体"/>
                <w:b/>
                <w:bCs/>
                <w:color w:val="000000"/>
                <w:kern w:val="0"/>
                <w:sz w:val="16"/>
                <w:szCs w:val="16"/>
              </w:rPr>
              <w:t>二、无形资产</w:t>
            </w:r>
          </w:p>
        </w:tc>
        <w:tc>
          <w:tcPr>
            <w:tcW w:w="854"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c>
          <w:tcPr>
            <w:tcW w:w="1424" w:type="dxa"/>
            <w:tcBorders>
              <w:top w:val="nil"/>
              <w:left w:val="nil"/>
              <w:bottom w:val="single" w:color="auto" w:sz="4" w:space="0"/>
              <w:right w:val="single" w:color="auto" w:sz="4" w:space="0"/>
            </w:tcBorders>
            <w:noWrap w:val="0"/>
            <w:vAlign w:val="center"/>
          </w:tcPr>
          <w:p>
            <w:pPr>
              <w:pStyle w:val="17"/>
              <w:widowControl/>
              <w:jc w:val="right"/>
              <w:rPr>
                <w:rFonts w:hint="default" w:ascii="微软雅黑" w:hAnsi="微软雅黑" w:eastAsia="微软雅黑" w:cs="宋体"/>
                <w:color w:val="000000"/>
                <w:kern w:val="0"/>
                <w:sz w:val="16"/>
                <w:szCs w:val="16"/>
                <w:lang w:val="en-US" w:eastAsia="zh-CN"/>
              </w:rPr>
            </w:pPr>
            <w:r>
              <w:rPr>
                <w:rFonts w:hint="eastAsia" w:ascii="微软雅黑" w:hAnsi="微软雅黑" w:eastAsia="微软雅黑" w:cs="宋体"/>
                <w:color w:val="000000"/>
                <w:kern w:val="0"/>
                <w:sz w:val="16"/>
                <w:szCs w:val="16"/>
                <w:lang w:val="en-US" w:eastAsia="zh-CN"/>
              </w:rPr>
              <w:t>117319</w:t>
            </w:r>
          </w:p>
        </w:tc>
        <w:tc>
          <w:tcPr>
            <w:tcW w:w="1203" w:type="dxa"/>
            <w:tcBorders>
              <w:top w:val="nil"/>
              <w:left w:val="nil"/>
              <w:bottom w:val="single" w:color="auto" w:sz="4" w:space="0"/>
              <w:right w:val="single" w:color="auto" w:sz="4" w:space="0"/>
            </w:tcBorders>
            <w:noWrap w:val="0"/>
            <w:vAlign w:val="center"/>
          </w:tcPr>
          <w:p>
            <w:pPr>
              <w:pStyle w:val="17"/>
              <w:widowControl/>
              <w:jc w:val="right"/>
              <w:rPr>
                <w:rFonts w:hint="default" w:ascii="微软雅黑" w:hAnsi="微软雅黑" w:eastAsia="微软雅黑" w:cs="宋体"/>
                <w:color w:val="000000"/>
                <w:kern w:val="0"/>
                <w:sz w:val="16"/>
                <w:szCs w:val="16"/>
                <w:lang w:val="en-US" w:eastAsia="zh-CN"/>
              </w:rPr>
            </w:pPr>
            <w:r>
              <w:rPr>
                <w:rFonts w:hint="default" w:ascii="微软雅黑" w:hAnsi="微软雅黑" w:eastAsia="微软雅黑" w:cs="宋体"/>
                <w:color w:val="000000"/>
                <w:kern w:val="0"/>
                <w:sz w:val="16"/>
                <w:szCs w:val="16"/>
                <w:lang w:val="en-US" w:eastAsia="zh-CN"/>
              </w:rPr>
              <w:t xml:space="preserve">34,142.29 </w:t>
            </w:r>
          </w:p>
        </w:tc>
        <w:tc>
          <w:tcPr>
            <w:tcW w:w="1197" w:type="dxa"/>
            <w:tcBorders>
              <w:top w:val="nil"/>
              <w:left w:val="nil"/>
              <w:bottom w:val="single" w:color="auto" w:sz="4" w:space="0"/>
              <w:right w:val="single" w:color="auto" w:sz="4" w:space="0"/>
            </w:tcBorders>
            <w:noWrap w:val="0"/>
            <w:vAlign w:val="center"/>
          </w:tcPr>
          <w:p>
            <w:pPr>
              <w:pStyle w:val="17"/>
              <w:widowControl/>
              <w:jc w:val="right"/>
              <w:rPr>
                <w:rFonts w:hint="default" w:ascii="微软雅黑" w:hAnsi="微软雅黑" w:eastAsia="微软雅黑" w:cs="宋体"/>
                <w:color w:val="000000"/>
                <w:kern w:val="0"/>
                <w:sz w:val="16"/>
                <w:szCs w:val="16"/>
                <w:lang w:val="en-US" w:eastAsia="zh-CN"/>
              </w:rPr>
            </w:pPr>
            <w:r>
              <w:rPr>
                <w:rFonts w:hint="default" w:ascii="微软雅黑" w:hAnsi="微软雅黑" w:eastAsia="微软雅黑" w:cs="宋体"/>
                <w:color w:val="000000"/>
                <w:kern w:val="0"/>
                <w:sz w:val="16"/>
                <w:szCs w:val="16"/>
                <w:lang w:val="en-US" w:eastAsia="zh-CN"/>
              </w:rPr>
              <w:t xml:space="preserve">83,176.71 </w:t>
            </w:r>
          </w:p>
        </w:tc>
        <w:tc>
          <w:tcPr>
            <w:tcW w:w="783"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c>
          <w:tcPr>
            <w:tcW w:w="783"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r>
      <w:tr>
        <w:tblPrEx>
          <w:tblCellMar>
            <w:top w:w="0" w:type="dxa"/>
            <w:left w:w="108" w:type="dxa"/>
            <w:bottom w:w="0" w:type="dxa"/>
            <w:right w:w="108" w:type="dxa"/>
          </w:tblCellMar>
        </w:tblPrEx>
        <w:trPr>
          <w:trHeight w:val="270" w:hRule="atLeast"/>
        </w:trPr>
        <w:tc>
          <w:tcPr>
            <w:tcW w:w="1810" w:type="dxa"/>
            <w:tcBorders>
              <w:top w:val="nil"/>
              <w:left w:val="single" w:color="auto" w:sz="4" w:space="0"/>
              <w:bottom w:val="single" w:color="auto" w:sz="4" w:space="0"/>
              <w:right w:val="single" w:color="auto" w:sz="4" w:space="0"/>
            </w:tcBorders>
            <w:noWrap w:val="0"/>
            <w:vAlign w:val="center"/>
          </w:tcPr>
          <w:p>
            <w:pPr>
              <w:pStyle w:val="17"/>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xml:space="preserve">   1.土地使用权（平方米）</w:t>
            </w:r>
          </w:p>
        </w:tc>
        <w:tc>
          <w:tcPr>
            <w:tcW w:w="854"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3283.00</w:t>
            </w:r>
          </w:p>
        </w:tc>
        <w:tc>
          <w:tcPr>
            <w:tcW w:w="1424"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102319.00</w:t>
            </w:r>
          </w:p>
        </w:tc>
        <w:tc>
          <w:tcPr>
            <w:tcW w:w="1203" w:type="dxa"/>
            <w:tcBorders>
              <w:top w:val="nil"/>
              <w:left w:val="nil"/>
              <w:bottom w:val="single" w:color="auto" w:sz="4" w:space="0"/>
              <w:right w:val="single" w:color="auto" w:sz="4" w:space="0"/>
            </w:tcBorders>
            <w:noWrap w:val="0"/>
            <w:vAlign w:val="center"/>
          </w:tcPr>
          <w:p>
            <w:pPr>
              <w:pStyle w:val="17"/>
              <w:widowControl/>
              <w:jc w:val="center"/>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w:t>
            </w:r>
          </w:p>
        </w:tc>
        <w:tc>
          <w:tcPr>
            <w:tcW w:w="1197" w:type="dxa"/>
            <w:tcBorders>
              <w:top w:val="nil"/>
              <w:left w:val="nil"/>
              <w:bottom w:val="single" w:color="auto" w:sz="4" w:space="0"/>
              <w:right w:val="single" w:color="auto" w:sz="4" w:space="0"/>
            </w:tcBorders>
            <w:noWrap w:val="0"/>
            <w:vAlign w:val="center"/>
          </w:tcPr>
          <w:p>
            <w:pPr>
              <w:pStyle w:val="17"/>
              <w:widowControl/>
              <w:jc w:val="right"/>
              <w:rPr>
                <w:rFonts w:hint="eastAsia" w:ascii="微软雅黑" w:hAnsi="微软雅黑" w:eastAsia="微软雅黑" w:cs="宋体"/>
                <w:color w:val="000000"/>
                <w:kern w:val="0"/>
                <w:sz w:val="16"/>
                <w:szCs w:val="16"/>
                <w:lang w:val="en-US" w:eastAsia="zh-CN"/>
              </w:rPr>
            </w:pPr>
            <w:r>
              <w:rPr>
                <w:rFonts w:hint="eastAsia" w:ascii="微软雅黑" w:hAnsi="微软雅黑" w:eastAsia="微软雅黑" w:cs="宋体"/>
                <w:color w:val="000000"/>
                <w:kern w:val="0"/>
                <w:sz w:val="16"/>
                <w:szCs w:val="16"/>
                <w:lang w:val="en-US" w:eastAsia="zh-CN"/>
              </w:rPr>
              <w:t>——</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r>
      <w:tr>
        <w:tblPrEx>
          <w:tblCellMar>
            <w:top w:w="0" w:type="dxa"/>
            <w:left w:w="108" w:type="dxa"/>
            <w:bottom w:w="0" w:type="dxa"/>
            <w:right w:w="108" w:type="dxa"/>
          </w:tblCellMar>
        </w:tblPrEx>
        <w:trPr>
          <w:trHeight w:val="270" w:hRule="atLeast"/>
        </w:trPr>
        <w:tc>
          <w:tcPr>
            <w:tcW w:w="1810" w:type="dxa"/>
            <w:tcBorders>
              <w:top w:val="nil"/>
              <w:left w:val="single" w:color="auto" w:sz="4" w:space="0"/>
              <w:bottom w:val="single" w:color="auto" w:sz="4" w:space="0"/>
              <w:right w:val="single" w:color="auto" w:sz="4" w:space="0"/>
            </w:tcBorders>
            <w:noWrap w:val="0"/>
            <w:vAlign w:val="center"/>
          </w:tcPr>
          <w:p>
            <w:pPr>
              <w:pStyle w:val="17"/>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xml:space="preserve">  2.计算机软件（个、项等）</w:t>
            </w:r>
          </w:p>
        </w:tc>
        <w:tc>
          <w:tcPr>
            <w:tcW w:w="854"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1.00</w:t>
            </w:r>
          </w:p>
        </w:tc>
        <w:tc>
          <w:tcPr>
            <w:tcW w:w="1424"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15000.00</w:t>
            </w:r>
          </w:p>
        </w:tc>
        <w:tc>
          <w:tcPr>
            <w:tcW w:w="1203" w:type="dxa"/>
            <w:tcBorders>
              <w:top w:val="nil"/>
              <w:left w:val="nil"/>
              <w:bottom w:val="single" w:color="auto" w:sz="4" w:space="0"/>
              <w:right w:val="single" w:color="auto" w:sz="4" w:space="0"/>
            </w:tcBorders>
            <w:noWrap w:val="0"/>
            <w:vAlign w:val="center"/>
          </w:tcPr>
          <w:p>
            <w:pPr>
              <w:pStyle w:val="17"/>
              <w:keepNext w:val="0"/>
              <w:keepLines w:val="0"/>
              <w:widowControl/>
              <w:suppressLineNumbers w:val="0"/>
              <w:jc w:val="right"/>
              <w:textAlignment w:val="center"/>
              <w:rPr>
                <w:rFonts w:hint="default" w:ascii="Calibri" w:hAnsi="Calibri" w:eastAsia="宋体" w:cs="Calibri"/>
                <w:i w:val="0"/>
                <w:color w:val="000000"/>
                <w:kern w:val="2"/>
                <w:sz w:val="28"/>
                <w:szCs w:val="28"/>
                <w:u w:val="none"/>
                <w:lang w:val="en-US" w:eastAsia="zh-CN" w:bidi="ar-SA"/>
              </w:rPr>
            </w:pPr>
            <w:r>
              <w:rPr>
                <w:rFonts w:hint="default" w:ascii="微软雅黑" w:hAnsi="微软雅黑" w:eastAsia="微软雅黑" w:cs="宋体"/>
                <w:color w:val="000000"/>
                <w:kern w:val="0"/>
                <w:sz w:val="16"/>
                <w:szCs w:val="16"/>
                <w:lang w:val="en-US" w:eastAsia="zh-CN"/>
              </w:rPr>
              <w:t>14,531.25</w:t>
            </w:r>
            <w:r>
              <w:rPr>
                <w:rFonts w:hint="default" w:ascii="Calibri" w:hAnsi="Calibri" w:eastAsia="宋体" w:cs="Calibri"/>
                <w:i w:val="0"/>
                <w:color w:val="000000"/>
                <w:kern w:val="0"/>
                <w:sz w:val="28"/>
                <w:szCs w:val="28"/>
                <w:u w:val="none"/>
                <w:lang w:val="en-US" w:eastAsia="zh-CN" w:bidi="zh-HK"/>
              </w:rPr>
              <w:t xml:space="preserve"> </w:t>
            </w:r>
          </w:p>
        </w:tc>
        <w:tc>
          <w:tcPr>
            <w:tcW w:w="1197" w:type="dxa"/>
            <w:tcBorders>
              <w:top w:val="nil"/>
              <w:left w:val="nil"/>
              <w:bottom w:val="single" w:color="auto" w:sz="4" w:space="0"/>
              <w:right w:val="single" w:color="auto" w:sz="4" w:space="0"/>
            </w:tcBorders>
            <w:noWrap w:val="0"/>
            <w:vAlign w:val="center"/>
          </w:tcPr>
          <w:p>
            <w:pPr>
              <w:pStyle w:val="17"/>
              <w:widowControl/>
              <w:jc w:val="right"/>
              <w:rPr>
                <w:rFonts w:hint="default" w:ascii="微软雅黑" w:hAnsi="微软雅黑" w:eastAsia="微软雅黑" w:cs="宋体"/>
                <w:color w:val="000000"/>
                <w:kern w:val="0"/>
                <w:sz w:val="16"/>
                <w:szCs w:val="16"/>
                <w:lang w:val="en-US" w:eastAsia="zh-CN"/>
              </w:rPr>
            </w:pPr>
            <w:r>
              <w:rPr>
                <w:rFonts w:hint="default" w:ascii="微软雅黑" w:hAnsi="微软雅黑" w:eastAsia="微软雅黑" w:cs="宋体"/>
                <w:color w:val="000000"/>
                <w:kern w:val="0"/>
                <w:sz w:val="16"/>
                <w:szCs w:val="16"/>
                <w:lang w:val="en-US" w:eastAsia="zh-CN"/>
              </w:rPr>
              <w:t xml:space="preserve">468.75 </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c>
          <w:tcPr>
            <w:tcW w:w="783" w:type="dxa"/>
            <w:tcBorders>
              <w:top w:val="nil"/>
              <w:left w:val="nil"/>
              <w:bottom w:val="single" w:color="auto" w:sz="4" w:space="0"/>
              <w:right w:val="single" w:color="auto" w:sz="4" w:space="0"/>
            </w:tcBorders>
            <w:noWrap w:val="0"/>
            <w:vAlign w:val="center"/>
          </w:tcPr>
          <w:p>
            <w:pPr>
              <w:pStyle w:val="17"/>
              <w:widowControl/>
              <w:jc w:val="righ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0.00</w:t>
            </w:r>
          </w:p>
        </w:tc>
      </w:tr>
    </w:tbl>
    <w:p>
      <w:pPr>
        <w:pStyle w:val="17"/>
        <w:spacing w:line="520" w:lineRule="exact"/>
        <w:ind w:firstLine="614" w:firstLineChars="192"/>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有土地证的土地面积3283平方米，占土地总面积比100%、</w:t>
      </w:r>
    </w:p>
    <w:p>
      <w:pPr>
        <w:pStyle w:val="17"/>
        <w:spacing w:line="520" w:lineRule="exact"/>
        <w:ind w:firstLine="614" w:firstLineChars="192"/>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(六）</w:t>
      </w:r>
      <w:r>
        <w:rPr>
          <w:rFonts w:hint="eastAsia" w:ascii="仿宋_GB2312" w:hAnsi="Times New Roman" w:eastAsia="仿宋_GB2312" w:cs="Times New Roman"/>
          <w:sz w:val="32"/>
          <w:szCs w:val="32"/>
        </w:rPr>
        <w:t>财政财务管理制度及执行情况</w:t>
      </w:r>
    </w:p>
    <w:p>
      <w:pPr>
        <w:pStyle w:val="17"/>
        <w:spacing w:line="520" w:lineRule="exact"/>
        <w:ind w:firstLine="614" w:firstLineChars="192"/>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为了加强财务管理，保障各项检察业务的正常开展，根据国家法律、法规和财政部门的有关规定</w:t>
      </w:r>
      <w:r>
        <w:rPr>
          <w:rFonts w:hint="eastAsia" w:ascii="仿宋_GB2312" w:hAnsi="Times New Roman" w:eastAsia="仿宋_GB2312" w:cs="Times New Roman"/>
          <w:sz w:val="32"/>
          <w:szCs w:val="32"/>
          <w:lang w:eastAsia="zh-CN"/>
        </w:rPr>
        <w:t>，在</w:t>
      </w:r>
      <w:r>
        <w:rPr>
          <w:rFonts w:hint="eastAsia" w:ascii="仿宋_GB2312" w:hAnsi="Times New Roman" w:eastAsia="仿宋_GB2312" w:cs="Times New Roman"/>
          <w:sz w:val="32"/>
          <w:szCs w:val="32"/>
          <w:lang w:val="en-US" w:eastAsia="zh-CN"/>
        </w:rPr>
        <w:t>2016年</w:t>
      </w:r>
      <w:r>
        <w:rPr>
          <w:rFonts w:hint="eastAsia" w:ascii="仿宋_GB2312" w:hAnsi="Times New Roman" w:eastAsia="仿宋_GB2312" w:cs="Times New Roman"/>
          <w:sz w:val="32"/>
          <w:szCs w:val="32"/>
        </w:rPr>
        <w:t>制定</w:t>
      </w:r>
      <w:r>
        <w:rPr>
          <w:rFonts w:hint="eastAsia" w:ascii="仿宋_GB2312" w:hAnsi="Times New Roman" w:eastAsia="仿宋_GB2312" w:cs="Times New Roman"/>
          <w:sz w:val="32"/>
          <w:szCs w:val="32"/>
          <w:lang w:val="en-US" w:eastAsia="zh-CN"/>
        </w:rPr>
        <w:t>了《庆元县人民检察院财务管理制度》在全院试行，2018年对本制度进行了更新、整理并重新制定了《庆元县人民检察院内控制度》。我院</w:t>
      </w:r>
      <w:r>
        <w:rPr>
          <w:rFonts w:hint="eastAsia" w:ascii="仿宋_GB2312" w:hAnsi="Times New Roman" w:eastAsia="仿宋_GB2312" w:cs="Times New Roman"/>
          <w:sz w:val="32"/>
          <w:szCs w:val="32"/>
        </w:rPr>
        <w:t>严格执行中央“八项规定”、浙江省委“六个严禁”</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各处室和个人办理收支业务必须严格遵守财务制度，并自觉接受纪检监察及内设机构的监督。严格执行“收支两条线”。</w:t>
      </w:r>
    </w:p>
    <w:p>
      <w:pPr>
        <w:pStyle w:val="17"/>
        <w:spacing w:line="520" w:lineRule="exact"/>
        <w:ind w:firstLine="614" w:firstLineChars="192"/>
        <w:rPr>
          <w:rFonts w:hint="eastAsia" w:ascii="黑体" w:eastAsia="黑体"/>
          <w:sz w:val="32"/>
          <w:szCs w:val="32"/>
        </w:rPr>
      </w:pPr>
      <w:r>
        <w:rPr>
          <w:rFonts w:hint="eastAsia" w:ascii="黑体" w:eastAsia="黑体"/>
          <w:sz w:val="32"/>
          <w:szCs w:val="32"/>
        </w:rPr>
        <w:t>二、部门整体支出绩效状况</w:t>
      </w:r>
    </w:p>
    <w:p>
      <w:pPr>
        <w:pStyle w:val="17"/>
        <w:spacing w:line="360" w:lineRule="auto"/>
        <w:ind w:firstLine="600" w:firstLineChars="200"/>
        <w:rPr>
          <w:rFonts w:hint="eastAsia" w:ascii="宋体" w:hAnsi="宋体" w:eastAsia="宋体" w:cs="宋体"/>
          <w:kern w:val="2"/>
          <w:sz w:val="30"/>
          <w:szCs w:val="30"/>
          <w:lang w:val="en-US" w:eastAsia="zh-CN" w:bidi="zh-HK"/>
        </w:rPr>
      </w:pPr>
      <w:r>
        <w:rPr>
          <w:rFonts w:hint="eastAsia" w:ascii="宋体" w:hAnsi="宋体" w:eastAsia="宋体" w:cs="宋体"/>
          <w:kern w:val="2"/>
          <w:sz w:val="30"/>
          <w:szCs w:val="30"/>
          <w:lang w:val="en-US" w:eastAsia="zh-CN" w:bidi="zh-HK"/>
        </w:rPr>
        <w:t>1．概述一级项目和二级项目绩效目标完成情况。</w:t>
      </w:r>
    </w:p>
    <w:p>
      <w:pPr>
        <w:pStyle w:val="17"/>
        <w:widowControl/>
        <w:spacing w:line="540" w:lineRule="exact"/>
        <w:ind w:left="-315" w:leftChars="-150" w:right="-315" w:rightChars="-150" w:firstLine="640" w:firstLineChars="20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2023年本院有7个项目，分别是一般行政管理事务-省补办案（业务）经费下达157万元，绩效目标完成99.6%；结转省补办案（业务）经费下达25万元，绩效目标完成100%；其他检察支出-省补业务装备经费下达100万元，绩效目标完成了99.22%；其他检察支出-办案费下达200万元，绩效目标完成98.94%；其他检察支出-法治教育宣传经费下达15万元，绩效目标完成100%，其他检察支出-“科技强检”建设与应用经费下30万元，绩效目标完成100%，其他检察支出-省补司法救助资金下达24.79万元，绩效目标完成100%。</w:t>
      </w:r>
    </w:p>
    <w:p>
      <w:pPr>
        <w:pStyle w:val="17"/>
        <w:spacing w:line="360" w:lineRule="auto"/>
        <w:ind w:firstLine="600" w:firstLineChars="200"/>
        <w:rPr>
          <w:rFonts w:hint="eastAsia" w:ascii="仿宋_GB2312" w:hAnsi="仿宋" w:eastAsia="仿宋_GB2312" w:cs="Times New Roman"/>
          <w:color w:val="000000"/>
          <w:spacing w:val="-2"/>
          <w:kern w:val="2"/>
          <w:sz w:val="32"/>
          <w:szCs w:val="32"/>
          <w:lang w:val="en-US" w:eastAsia="zh-CN" w:bidi="ar-SA"/>
        </w:rPr>
      </w:pPr>
      <w:r>
        <w:rPr>
          <w:rFonts w:hint="eastAsia" w:ascii="宋体" w:hAnsi="宋体" w:eastAsia="宋体" w:cs="宋体"/>
          <w:kern w:val="2"/>
          <w:sz w:val="30"/>
          <w:szCs w:val="30"/>
          <w:lang w:val="en-US" w:eastAsia="zh-CN" w:bidi="zh-HK"/>
        </w:rPr>
        <w:t>2．概述下属单位整体支出绩效目标实现情况。</w:t>
      </w:r>
      <w:r>
        <w:rPr>
          <w:rFonts w:hint="eastAsia" w:ascii="仿宋_GB2312" w:hAnsi="仿宋" w:eastAsia="仿宋_GB2312" w:cs="Times New Roman"/>
          <w:color w:val="000000"/>
          <w:spacing w:val="-2"/>
          <w:kern w:val="2"/>
          <w:sz w:val="32"/>
          <w:szCs w:val="32"/>
          <w:lang w:val="en-US" w:eastAsia="zh-CN" w:bidi="ar-SA"/>
        </w:rPr>
        <w:t>无</w:t>
      </w:r>
    </w:p>
    <w:p>
      <w:pPr>
        <w:pStyle w:val="17"/>
        <w:spacing w:line="360" w:lineRule="auto"/>
        <w:ind w:firstLine="600" w:firstLineChars="200"/>
        <w:rPr>
          <w:rFonts w:hint="eastAsia" w:ascii="宋体" w:hAnsi="宋体" w:eastAsia="宋体" w:cs="宋体"/>
          <w:kern w:val="2"/>
          <w:sz w:val="30"/>
          <w:szCs w:val="30"/>
          <w:lang w:val="en-US" w:eastAsia="zh-CN" w:bidi="zh-HK"/>
        </w:rPr>
      </w:pPr>
      <w:r>
        <w:rPr>
          <w:rFonts w:hint="eastAsia" w:ascii="宋体" w:hAnsi="宋体" w:eastAsia="宋体" w:cs="宋体"/>
          <w:kern w:val="2"/>
          <w:sz w:val="30"/>
          <w:szCs w:val="30"/>
          <w:lang w:val="en-US" w:eastAsia="zh-CN" w:bidi="zh-HK"/>
        </w:rPr>
        <w:t>3．概述以部门为主体开展的重点项目绩效评价情况：绩效评价结果，发现的问题及改进措施等。</w:t>
      </w:r>
    </w:p>
    <w:p>
      <w:pPr>
        <w:pStyle w:val="17"/>
        <w:widowControl/>
        <w:spacing w:line="540" w:lineRule="exact"/>
        <w:ind w:right="-315" w:rightChars="-150"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2023年本院的7个项目，分别是一般行政管理事务-省补办案（业务）经费下达157万元，绩效目标完成99.6%，评价结果为优；结转省补办案（业务）经费下达25万元，绩效目标完成100%，评价结果为优；其他检察支出-省补业务装备经费下达100万元，绩效目标完成了99.22%，评价结果为优；其他检察支出-办案费下达200万元，绩效目标完成98.94%，评价结果为优；其他检察支出-法治教育宣传经费下达15万元，绩效目标完成100%，评价结果为优，其他检察支出-“科技强检”建设与应用经费下达30万元，绩效目标完成100%，评价结果为优，其他检察支出-省补司法救助资金下达24.79万元，绩效目标完成100%，评价结果为优。</w:t>
      </w:r>
    </w:p>
    <w:p>
      <w:pPr>
        <w:pStyle w:val="17"/>
        <w:spacing w:line="520" w:lineRule="exact"/>
        <w:ind w:firstLine="640" w:firstLineChars="200"/>
        <w:rPr>
          <w:rFonts w:hint="eastAsia" w:ascii="黑体" w:eastAsia="黑体"/>
          <w:sz w:val="32"/>
          <w:szCs w:val="32"/>
        </w:rPr>
      </w:pPr>
      <w:r>
        <w:rPr>
          <w:rFonts w:hint="eastAsia" w:ascii="黑体" w:eastAsia="黑体"/>
          <w:sz w:val="32"/>
          <w:szCs w:val="32"/>
        </w:rPr>
        <w:t>三、存在的问题及原因</w:t>
      </w:r>
    </w:p>
    <w:p>
      <w:pPr>
        <w:pStyle w:val="17"/>
        <w:spacing w:line="520" w:lineRule="exact"/>
        <w:ind w:firstLine="614" w:firstLineChars="192"/>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1.行政单位财务分析指标。</w:t>
      </w:r>
    </w:p>
    <w:p>
      <w:pPr>
        <w:pStyle w:val="17"/>
        <w:widowControl/>
        <w:spacing w:line="540" w:lineRule="exact"/>
        <w:ind w:right="-315" w:rightChars="-150"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2023年本年支出总额为2278.18万元，相比2022年2245.64万元，增长率为1.45%；当年预算2278.18万元，年中无预算调整数，年初结转结余4.75万元，年终执行数为2278.18万元，当年预算支出完成率100%。2023年机关运行经费支出数为204万元，年末在职人员是45人，编外人员19人，人均开支3.18万元；2023年项目支出金额为554.23万元，项目支出比率为24.33%；2023年人员支出数为1519.95万元，人员支出比率为66.72%；本期公用经费支出为204万元，公用支出比率为8.95%；2023年末办公用房使用面积为480平方，人均办公使用面积为7.5平方；2023年公务用车配备5辆，人均比例为7.81%。</w:t>
      </w:r>
    </w:p>
    <w:p>
      <w:pPr>
        <w:pStyle w:val="17"/>
        <w:spacing w:line="520" w:lineRule="exact"/>
        <w:ind w:firstLine="614" w:firstLineChars="192"/>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2. 绩效管理中存在问题、原因及改进措施。</w:t>
      </w:r>
    </w:p>
    <w:p>
      <w:pPr>
        <w:pStyle w:val="17"/>
        <w:spacing w:line="520" w:lineRule="exact"/>
        <w:ind w:firstLine="614" w:firstLineChars="192"/>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绩效管理中本院预算执行率达到100%，在2024年我院会根据各科室的预算情况更加精准谋划项目，及早跟进，争取也完成绩效目标的100%。</w:t>
      </w:r>
    </w:p>
    <w:p>
      <w:pPr>
        <w:pStyle w:val="17"/>
        <w:spacing w:line="520" w:lineRule="exact"/>
        <w:ind w:firstLine="614" w:firstLineChars="192"/>
        <w:rPr>
          <w:rFonts w:hint="eastAsia" w:ascii="黑体" w:eastAsia="黑体"/>
          <w:sz w:val="32"/>
          <w:szCs w:val="32"/>
        </w:rPr>
      </w:pPr>
      <w:r>
        <w:rPr>
          <w:rFonts w:hint="eastAsia" w:ascii="黑体" w:eastAsia="黑体"/>
          <w:sz w:val="32"/>
          <w:szCs w:val="32"/>
        </w:rPr>
        <w:t>四、提高财政资金绩效的措施与建议</w:t>
      </w:r>
    </w:p>
    <w:p>
      <w:pPr>
        <w:pStyle w:val="17"/>
        <w:spacing w:line="520" w:lineRule="exact"/>
        <w:ind w:firstLine="614" w:firstLineChars="192"/>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虽然不存在</w:t>
      </w:r>
      <w:r>
        <w:rPr>
          <w:rFonts w:hint="eastAsia" w:ascii="仿宋_GB2312" w:eastAsia="仿宋_GB2312"/>
          <w:color w:val="000000"/>
          <w:sz w:val="32"/>
          <w:szCs w:val="32"/>
        </w:rPr>
        <w:t>当前影响本部门财政资金使用绩效的问题</w:t>
      </w:r>
      <w:r>
        <w:rPr>
          <w:rFonts w:hint="eastAsia" w:ascii="仿宋_GB2312" w:eastAsia="仿宋_GB2312"/>
          <w:color w:val="000000"/>
          <w:sz w:val="32"/>
          <w:szCs w:val="32"/>
          <w:lang w:eastAsia="zh-CN"/>
        </w:rPr>
        <w:t>，但是我院接下来会更合理的安排财政资金使用的范围，使绩效更精准。</w:t>
      </w:r>
    </w:p>
    <w:p>
      <w:pPr>
        <w:pStyle w:val="17"/>
        <w:spacing w:line="520" w:lineRule="exact"/>
        <w:ind w:firstLine="614" w:firstLineChars="192"/>
        <w:rPr>
          <w:rFonts w:hint="eastAsia" w:ascii="黑体" w:eastAsia="黑体"/>
          <w:sz w:val="32"/>
          <w:szCs w:val="32"/>
        </w:rPr>
      </w:pPr>
      <w:r>
        <w:rPr>
          <w:rFonts w:hint="eastAsia" w:ascii="黑体" w:eastAsia="黑体"/>
          <w:sz w:val="32"/>
          <w:szCs w:val="32"/>
        </w:rPr>
        <w:t>五、附件</w:t>
      </w:r>
    </w:p>
    <w:p>
      <w:pPr>
        <w:pStyle w:val="17"/>
        <w:spacing w:line="520" w:lineRule="exact"/>
        <w:ind w:firstLine="614" w:firstLineChars="192"/>
        <w:rPr>
          <w:rFonts w:hint="eastAsia" w:ascii="仿宋_GB2312" w:eastAsia="仿宋_GB2312"/>
          <w:sz w:val="32"/>
          <w:szCs w:val="32"/>
        </w:rPr>
      </w:pPr>
      <w:r>
        <w:rPr>
          <w:rFonts w:hint="eastAsia" w:ascii="仿宋_GB2312" w:eastAsia="仿宋_GB2312"/>
          <w:sz w:val="32"/>
          <w:szCs w:val="32"/>
        </w:rPr>
        <w:t>部门整体支出绩效评价基本情况表；部门认为需要作为评价报告附件的有关文件、资料等，以进一步解释和证明报告所反映的相关内容。</w:t>
      </w:r>
    </w:p>
    <w:p>
      <w:pPr>
        <w:pStyle w:val="17"/>
        <w:spacing w:line="440" w:lineRule="exact"/>
        <w:ind w:firstLine="617" w:firstLineChars="192"/>
        <w:jc w:val="center"/>
        <w:rPr>
          <w:rFonts w:ascii="仿宋_GB2312" w:eastAsia="仿宋_GB2312"/>
          <w:b/>
          <w:bCs/>
          <w:sz w:val="32"/>
          <w:szCs w:val="32"/>
        </w:rPr>
        <w:sectPr>
          <w:pgSz w:w="11906" w:h="16838"/>
          <w:pgMar w:top="1440" w:right="1797" w:bottom="1440" w:left="1797" w:header="851" w:footer="992" w:gutter="0"/>
          <w:docGrid w:type="lines" w:linePitch="312" w:charSpace="0"/>
        </w:sectPr>
      </w:pPr>
    </w:p>
    <w:p>
      <w:pPr>
        <w:pStyle w:val="17"/>
        <w:spacing w:line="440" w:lineRule="exact"/>
        <w:ind w:firstLine="691" w:firstLineChars="192"/>
        <w:jc w:val="center"/>
        <w:rPr>
          <w:rFonts w:hint="eastAsia" w:ascii="宋体" w:hAnsi="宋体"/>
          <w:b/>
          <w:bCs/>
          <w:sz w:val="36"/>
          <w:szCs w:val="36"/>
        </w:rPr>
      </w:pPr>
      <w:r>
        <w:rPr>
          <w:rFonts w:hint="eastAsia" w:ascii="宋体" w:hAnsi="宋体"/>
          <w:b/>
          <w:bCs/>
          <w:sz w:val="36"/>
          <w:szCs w:val="36"/>
        </w:rPr>
        <w:t>部门整体支出绩效评价基本情况表</w:t>
      </w:r>
    </w:p>
    <w:p>
      <w:pPr>
        <w:pStyle w:val="17"/>
        <w:spacing w:line="440" w:lineRule="exact"/>
        <w:ind w:firstLine="403" w:firstLineChars="192"/>
        <w:jc w:val="center"/>
        <w:rPr>
          <w:rFonts w:hint="eastAsia"/>
        </w:rPr>
      </w:pPr>
      <w:r>
        <w:rPr>
          <w:rFonts w:hint="eastAsia"/>
        </w:rPr>
        <w:t xml:space="preserve">（   </w:t>
      </w:r>
      <w:r>
        <w:rPr>
          <w:rFonts w:hint="eastAsia"/>
          <w:lang w:val="en-US" w:eastAsia="zh-CN"/>
        </w:rPr>
        <w:t>2023</w:t>
      </w:r>
      <w:r>
        <w:rPr>
          <w:rFonts w:hint="eastAsia"/>
        </w:rPr>
        <w:t xml:space="preserve"> 年度）</w:t>
      </w:r>
    </w:p>
    <w:p>
      <w:pPr>
        <w:pStyle w:val="17"/>
        <w:spacing w:line="440" w:lineRule="exact"/>
        <w:ind w:firstLine="403" w:firstLineChars="192"/>
        <w:jc w:val="left"/>
        <w:rPr>
          <w:rFonts w:hint="eastAsia"/>
        </w:rPr>
      </w:pPr>
      <w:r>
        <w:rPr>
          <w:rFonts w:hint="eastAsia"/>
        </w:rPr>
        <w:t>填报单位（盖章）：</w:t>
      </w:r>
    </w:p>
    <w:tbl>
      <w:tblPr>
        <w:tblStyle w:val="20"/>
        <w:tblW w:w="1441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525"/>
        <w:gridCol w:w="2270"/>
        <w:gridCol w:w="1885"/>
        <w:gridCol w:w="360"/>
        <w:gridCol w:w="2865"/>
        <w:gridCol w:w="2355"/>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35" w:type="dxa"/>
            <w:noWrap w:val="0"/>
            <w:vAlign w:val="center"/>
          </w:tcPr>
          <w:p>
            <w:pPr>
              <w:pStyle w:val="17"/>
              <w:widowControl/>
              <w:jc w:val="center"/>
              <w:rPr>
                <w:rFonts w:ascii="黑体" w:hAnsi="宋体" w:eastAsia="黑体" w:cs="宋体"/>
                <w:b/>
                <w:bCs/>
                <w:kern w:val="0"/>
                <w:sz w:val="24"/>
              </w:rPr>
            </w:pPr>
            <w:r>
              <w:rPr>
                <w:rFonts w:hint="eastAsia" w:ascii="黑体" w:hAnsi="宋体" w:eastAsia="黑体" w:cs="宋体"/>
                <w:b/>
                <w:bCs/>
                <w:kern w:val="0"/>
                <w:sz w:val="24"/>
              </w:rPr>
              <w:t>评价联系人</w:t>
            </w:r>
          </w:p>
        </w:tc>
        <w:tc>
          <w:tcPr>
            <w:tcW w:w="4680" w:type="dxa"/>
            <w:gridSpan w:val="3"/>
            <w:noWrap w:val="0"/>
            <w:vAlign w:val="center"/>
          </w:tcPr>
          <w:p>
            <w:pPr>
              <w:pStyle w:val="17"/>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陈霞</w:t>
            </w:r>
          </w:p>
        </w:tc>
        <w:tc>
          <w:tcPr>
            <w:tcW w:w="3225" w:type="dxa"/>
            <w:gridSpan w:val="2"/>
            <w:noWrap w:val="0"/>
            <w:vAlign w:val="center"/>
          </w:tcPr>
          <w:p>
            <w:pPr>
              <w:pStyle w:val="17"/>
              <w:widowControl/>
              <w:jc w:val="center"/>
              <w:rPr>
                <w:rFonts w:ascii="黑体" w:hAnsi="宋体" w:eastAsia="黑体" w:cs="宋体"/>
                <w:b/>
                <w:bCs/>
                <w:kern w:val="0"/>
                <w:sz w:val="24"/>
              </w:rPr>
            </w:pPr>
            <w:r>
              <w:rPr>
                <w:rFonts w:hint="eastAsia" w:ascii="黑体" w:hAnsi="宋体" w:eastAsia="黑体" w:cs="宋体"/>
                <w:b/>
                <w:bCs/>
                <w:kern w:val="0"/>
                <w:sz w:val="24"/>
              </w:rPr>
              <w:t xml:space="preserve"> 联系电话及手机</w:t>
            </w:r>
          </w:p>
        </w:tc>
        <w:tc>
          <w:tcPr>
            <w:tcW w:w="4875" w:type="dxa"/>
            <w:gridSpan w:val="2"/>
            <w:noWrap w:val="0"/>
            <w:vAlign w:val="center"/>
          </w:tcPr>
          <w:p>
            <w:pPr>
              <w:pStyle w:val="17"/>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6276509（13735950725）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35" w:type="dxa"/>
            <w:noWrap w:val="0"/>
            <w:vAlign w:val="center"/>
          </w:tcPr>
          <w:p>
            <w:pPr>
              <w:pStyle w:val="17"/>
              <w:widowControl/>
              <w:jc w:val="center"/>
              <w:rPr>
                <w:rFonts w:ascii="黑体" w:hAnsi="宋体" w:eastAsia="黑体" w:cs="宋体"/>
                <w:b/>
                <w:bCs/>
                <w:kern w:val="0"/>
                <w:sz w:val="24"/>
              </w:rPr>
            </w:pPr>
            <w:r>
              <w:rPr>
                <w:rFonts w:hint="eastAsia" w:ascii="黑体" w:hAnsi="宋体" w:eastAsia="黑体" w:cs="宋体"/>
                <w:b/>
                <w:bCs/>
                <w:kern w:val="0"/>
                <w:sz w:val="24"/>
              </w:rPr>
              <w:t>人员编制数</w:t>
            </w:r>
          </w:p>
        </w:tc>
        <w:tc>
          <w:tcPr>
            <w:tcW w:w="4680" w:type="dxa"/>
            <w:gridSpan w:val="3"/>
            <w:noWrap w:val="0"/>
            <w:vAlign w:val="center"/>
          </w:tcPr>
          <w:p>
            <w:pPr>
              <w:pStyle w:val="17"/>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48</w:t>
            </w:r>
          </w:p>
        </w:tc>
        <w:tc>
          <w:tcPr>
            <w:tcW w:w="3225" w:type="dxa"/>
            <w:gridSpan w:val="2"/>
            <w:noWrap w:val="0"/>
            <w:vAlign w:val="center"/>
          </w:tcPr>
          <w:p>
            <w:pPr>
              <w:pStyle w:val="17"/>
              <w:widowControl/>
              <w:jc w:val="center"/>
              <w:rPr>
                <w:rFonts w:ascii="黑体" w:hAnsi="宋体" w:eastAsia="黑体" w:cs="宋体"/>
                <w:b/>
                <w:bCs/>
                <w:kern w:val="0"/>
                <w:sz w:val="24"/>
              </w:rPr>
            </w:pPr>
            <w:r>
              <w:rPr>
                <w:rFonts w:hint="eastAsia" w:ascii="黑体" w:hAnsi="宋体" w:eastAsia="黑体" w:cs="宋体"/>
                <w:b/>
                <w:bCs/>
                <w:kern w:val="0"/>
                <w:sz w:val="24"/>
              </w:rPr>
              <w:t xml:space="preserve"> 实有人数</w:t>
            </w:r>
          </w:p>
        </w:tc>
        <w:tc>
          <w:tcPr>
            <w:tcW w:w="4875" w:type="dxa"/>
            <w:gridSpan w:val="2"/>
            <w:noWrap w:val="0"/>
            <w:vAlign w:val="center"/>
          </w:tcPr>
          <w:p>
            <w:pPr>
              <w:pStyle w:val="17"/>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635" w:type="dxa"/>
            <w:noWrap w:val="0"/>
            <w:vAlign w:val="center"/>
          </w:tcPr>
          <w:p>
            <w:pPr>
              <w:pStyle w:val="17"/>
              <w:widowControl/>
              <w:jc w:val="center"/>
              <w:rPr>
                <w:rFonts w:ascii="黑体" w:hAnsi="宋体" w:eastAsia="黑体" w:cs="宋体"/>
                <w:b/>
                <w:bCs/>
                <w:kern w:val="0"/>
                <w:sz w:val="24"/>
              </w:rPr>
            </w:pPr>
            <w:r>
              <w:rPr>
                <w:rFonts w:hint="eastAsia" w:ascii="黑体" w:hAnsi="宋体" w:eastAsia="黑体" w:cs="宋体"/>
                <w:b/>
                <w:bCs/>
                <w:kern w:val="0"/>
                <w:sz w:val="24"/>
              </w:rPr>
              <w:t>单位职能</w:t>
            </w:r>
          </w:p>
        </w:tc>
        <w:tc>
          <w:tcPr>
            <w:tcW w:w="12780" w:type="dxa"/>
            <w:gridSpan w:val="7"/>
            <w:noWrap w:val="0"/>
            <w:vAlign w:val="center"/>
          </w:tcPr>
          <w:p>
            <w:pPr>
              <w:pStyle w:val="17"/>
              <w:widowControl/>
              <w:jc w:val="left"/>
              <w:rPr>
                <w:rFonts w:ascii="宋体" w:hAnsi="宋体" w:cs="宋体"/>
                <w:kern w:val="0"/>
                <w:sz w:val="24"/>
              </w:rPr>
            </w:pPr>
            <w:r>
              <w:rPr>
                <w:rFonts w:hint="eastAsia" w:ascii="宋体" w:hAnsi="宋体" w:cs="宋体"/>
                <w:kern w:val="0"/>
                <w:sz w:val="24"/>
              </w:rPr>
              <w:t xml:space="preserve">    </w:t>
            </w:r>
            <w:r>
              <w:rPr>
                <w:rFonts w:hint="eastAsia" w:ascii="宋体" w:hAnsi="宋体" w:eastAsia="宋体" w:cs="宋体"/>
                <w:kern w:val="0"/>
                <w:sz w:val="24"/>
                <w:lang w:val="en-US" w:eastAsia="zh-CN"/>
              </w:rPr>
              <w:t>(1)依法对公安机关侦查的案件进行审查，决定是否逮捕；对公安机关的侦查活动是否合法，实行监督。 (2)依法对刑事案件提起公诉，支持公诉；对于人民法院的审判活动是否合法实行监督。 (3)依法对刑事案件判决、裁定的执行和监狱、看守所等劳动改造机关的活动是否合法，实行监督。(4)依法对民事审判活动和行政诉讼实行法律监督，对人民法院已经发生法律效力的民事、行政判决和裁定，发现有违反法律、法规等情况，按审判监督程序提出抗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415" w:type="dxa"/>
            <w:gridSpan w:val="8"/>
            <w:noWrap w:val="0"/>
            <w:vAlign w:val="center"/>
          </w:tcPr>
          <w:p>
            <w:pPr>
              <w:pStyle w:val="17"/>
              <w:widowControl/>
              <w:jc w:val="center"/>
              <w:rPr>
                <w:rFonts w:ascii="黑体" w:hAnsi="宋体" w:eastAsia="黑体" w:cs="宋体"/>
                <w:b/>
                <w:bCs/>
                <w:kern w:val="0"/>
                <w:sz w:val="24"/>
              </w:rPr>
            </w:pPr>
            <w:r>
              <w:rPr>
                <w:rFonts w:hint="eastAsia" w:ascii="黑体" w:hAnsi="宋体" w:eastAsia="黑体" w:cs="宋体"/>
                <w:b/>
                <w:bCs/>
                <w:kern w:val="0"/>
                <w:sz w:val="24"/>
              </w:rPr>
              <w:t>单位年度实际收入（万元）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60" w:type="dxa"/>
            <w:gridSpan w:val="2"/>
            <w:vMerge w:val="restart"/>
            <w:noWrap w:val="0"/>
            <w:vAlign w:val="center"/>
          </w:tcPr>
          <w:p>
            <w:pPr>
              <w:pStyle w:val="17"/>
              <w:widowControl/>
              <w:jc w:val="center"/>
              <w:rPr>
                <w:rFonts w:ascii="黑体" w:hAnsi="宋体" w:eastAsia="黑体" w:cs="宋体"/>
                <w:kern w:val="0"/>
                <w:sz w:val="24"/>
              </w:rPr>
            </w:pPr>
            <w:r>
              <w:rPr>
                <w:rFonts w:hint="eastAsia" w:ascii="黑体" w:hAnsi="宋体" w:eastAsia="黑体" w:cs="宋体"/>
                <w:kern w:val="0"/>
                <w:sz w:val="24"/>
              </w:rPr>
              <w:t>收入合计</w:t>
            </w:r>
          </w:p>
        </w:tc>
        <w:tc>
          <w:tcPr>
            <w:tcW w:w="12255" w:type="dxa"/>
            <w:gridSpan w:val="6"/>
            <w:noWrap w:val="0"/>
            <w:vAlign w:val="center"/>
          </w:tcPr>
          <w:p>
            <w:pPr>
              <w:pStyle w:val="17"/>
              <w:widowControl/>
              <w:jc w:val="left"/>
              <w:rPr>
                <w:rFonts w:ascii="黑体" w:hAnsi="宋体" w:eastAsia="黑体" w:cs="宋体"/>
                <w:kern w:val="0"/>
                <w:sz w:val="24"/>
              </w:rPr>
            </w:pPr>
            <w:r>
              <w:rPr>
                <w:rFonts w:hint="eastAsia" w:ascii="黑体" w:hAnsi="宋体" w:eastAsia="黑体" w:cs="宋体"/>
                <w:kern w:val="0"/>
                <w:sz w:val="24"/>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160" w:type="dxa"/>
            <w:gridSpan w:val="2"/>
            <w:vMerge w:val="continue"/>
            <w:noWrap w:val="0"/>
            <w:vAlign w:val="center"/>
          </w:tcPr>
          <w:p>
            <w:pPr>
              <w:pStyle w:val="17"/>
              <w:widowControl/>
              <w:jc w:val="left"/>
              <w:rPr>
                <w:rFonts w:ascii="黑体" w:hAnsi="宋体" w:eastAsia="黑体" w:cs="宋体"/>
                <w:kern w:val="0"/>
                <w:sz w:val="24"/>
              </w:rPr>
            </w:pPr>
          </w:p>
        </w:tc>
        <w:tc>
          <w:tcPr>
            <w:tcW w:w="2270" w:type="dxa"/>
            <w:noWrap w:val="0"/>
            <w:vAlign w:val="center"/>
          </w:tcPr>
          <w:p>
            <w:pPr>
              <w:pStyle w:val="17"/>
              <w:widowControl/>
              <w:jc w:val="center"/>
              <w:rPr>
                <w:rFonts w:ascii="黑体" w:hAnsi="宋体" w:eastAsia="黑体" w:cs="宋体"/>
                <w:kern w:val="0"/>
                <w:sz w:val="24"/>
              </w:rPr>
            </w:pPr>
            <w:r>
              <w:rPr>
                <w:rFonts w:hint="eastAsia" w:ascii="黑体" w:hAnsi="宋体" w:eastAsia="黑体" w:cs="宋体"/>
                <w:kern w:val="0"/>
                <w:sz w:val="24"/>
              </w:rPr>
              <w:t>上年结转结余</w:t>
            </w:r>
          </w:p>
        </w:tc>
        <w:tc>
          <w:tcPr>
            <w:tcW w:w="2245" w:type="dxa"/>
            <w:gridSpan w:val="2"/>
            <w:noWrap w:val="0"/>
            <w:vAlign w:val="center"/>
          </w:tcPr>
          <w:p>
            <w:pPr>
              <w:pStyle w:val="17"/>
              <w:widowControl/>
              <w:jc w:val="center"/>
              <w:rPr>
                <w:rFonts w:ascii="黑体" w:hAnsi="宋体" w:eastAsia="黑体" w:cs="宋体"/>
                <w:kern w:val="0"/>
                <w:sz w:val="24"/>
              </w:rPr>
            </w:pPr>
            <w:r>
              <w:rPr>
                <w:rFonts w:hint="eastAsia" w:ascii="黑体" w:hAnsi="宋体" w:eastAsia="黑体" w:cs="宋体"/>
                <w:kern w:val="0"/>
                <w:sz w:val="24"/>
              </w:rPr>
              <w:t>财政拨款收入</w:t>
            </w:r>
          </w:p>
        </w:tc>
        <w:tc>
          <w:tcPr>
            <w:tcW w:w="2865" w:type="dxa"/>
            <w:noWrap w:val="0"/>
            <w:vAlign w:val="center"/>
          </w:tcPr>
          <w:p>
            <w:pPr>
              <w:pStyle w:val="17"/>
              <w:widowControl/>
              <w:jc w:val="center"/>
              <w:rPr>
                <w:rFonts w:hint="eastAsia" w:ascii="黑体" w:hAnsi="宋体" w:eastAsia="黑体" w:cs="宋体"/>
                <w:kern w:val="0"/>
                <w:sz w:val="24"/>
              </w:rPr>
            </w:pPr>
            <w:r>
              <w:rPr>
                <w:rFonts w:hint="eastAsia" w:ascii="黑体" w:hAnsi="宋体" w:eastAsia="黑体" w:cs="宋体"/>
                <w:kern w:val="0"/>
                <w:sz w:val="24"/>
              </w:rPr>
              <w:t>上级补助收入</w:t>
            </w:r>
          </w:p>
        </w:tc>
        <w:tc>
          <w:tcPr>
            <w:tcW w:w="2355" w:type="dxa"/>
            <w:noWrap w:val="0"/>
            <w:vAlign w:val="center"/>
          </w:tcPr>
          <w:p>
            <w:pPr>
              <w:pStyle w:val="17"/>
              <w:widowControl/>
              <w:jc w:val="center"/>
              <w:rPr>
                <w:rFonts w:ascii="黑体" w:hAnsi="宋体" w:eastAsia="黑体" w:cs="宋体"/>
                <w:kern w:val="0"/>
                <w:sz w:val="24"/>
              </w:rPr>
            </w:pPr>
            <w:r>
              <w:rPr>
                <w:rFonts w:hint="eastAsia" w:ascii="黑体" w:hAnsi="宋体" w:eastAsia="黑体" w:cs="宋体"/>
                <w:kern w:val="0"/>
                <w:sz w:val="24"/>
              </w:rPr>
              <w:t>事业收入</w:t>
            </w:r>
          </w:p>
        </w:tc>
        <w:tc>
          <w:tcPr>
            <w:tcW w:w="2520" w:type="dxa"/>
            <w:noWrap w:val="0"/>
            <w:vAlign w:val="center"/>
          </w:tcPr>
          <w:p>
            <w:pPr>
              <w:pStyle w:val="17"/>
              <w:widowControl/>
              <w:jc w:val="center"/>
              <w:rPr>
                <w:rFonts w:ascii="黑体" w:hAnsi="宋体" w:eastAsia="黑体" w:cs="宋体"/>
                <w:kern w:val="0"/>
                <w:sz w:val="24"/>
              </w:rPr>
            </w:pPr>
            <w:r>
              <w:rPr>
                <w:rFonts w:hint="eastAsia" w:ascii="黑体" w:hAnsi="宋体" w:eastAsia="黑体" w:cs="宋体"/>
                <w:kern w:val="0"/>
                <w:sz w:val="24"/>
              </w:rPr>
              <w:t>经营收入及其他收入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160" w:type="dxa"/>
            <w:gridSpan w:val="2"/>
            <w:noWrap w:val="0"/>
            <w:vAlign w:val="center"/>
          </w:tcPr>
          <w:p>
            <w:pPr>
              <w:pStyle w:val="17"/>
              <w:widowControl/>
              <w:jc w:val="left"/>
              <w:rPr>
                <w:rFonts w:hint="default" w:ascii="黑体" w:hAnsi="宋体" w:eastAsia="黑体" w:cs="宋体"/>
                <w:kern w:val="0"/>
                <w:sz w:val="24"/>
                <w:lang w:val="en-US" w:eastAsia="zh-CN"/>
              </w:rPr>
            </w:pPr>
            <w:r>
              <w:rPr>
                <w:rFonts w:hint="eastAsia" w:ascii="黑体" w:hAnsi="宋体" w:eastAsia="黑体" w:cs="宋体"/>
                <w:kern w:val="0"/>
                <w:sz w:val="24"/>
                <w:lang w:val="en-US" w:eastAsia="zh-CN"/>
              </w:rPr>
              <w:t>2279.12</w:t>
            </w:r>
          </w:p>
        </w:tc>
        <w:tc>
          <w:tcPr>
            <w:tcW w:w="2270" w:type="dxa"/>
            <w:noWrap w:val="0"/>
            <w:vAlign w:val="center"/>
          </w:tcPr>
          <w:p>
            <w:pPr>
              <w:pStyle w:val="17"/>
              <w:widowControl/>
              <w:jc w:val="left"/>
              <w:rPr>
                <w:rFonts w:hint="default" w:ascii="黑体" w:hAnsi="宋体" w:eastAsia="黑体" w:cs="宋体"/>
                <w:kern w:val="0"/>
                <w:sz w:val="24"/>
                <w:lang w:val="en-US" w:eastAsia="zh-CN"/>
              </w:rPr>
            </w:pPr>
            <w:r>
              <w:rPr>
                <w:rFonts w:hint="eastAsia" w:ascii="黑体" w:hAnsi="宋体" w:eastAsia="黑体" w:cs="宋体"/>
                <w:kern w:val="0"/>
                <w:sz w:val="24"/>
                <w:lang w:val="en-US" w:eastAsia="zh-CN"/>
              </w:rPr>
              <w:t>4.29</w:t>
            </w:r>
          </w:p>
        </w:tc>
        <w:tc>
          <w:tcPr>
            <w:tcW w:w="2245" w:type="dxa"/>
            <w:gridSpan w:val="2"/>
            <w:noWrap w:val="0"/>
            <w:vAlign w:val="center"/>
          </w:tcPr>
          <w:p>
            <w:pPr>
              <w:pStyle w:val="17"/>
              <w:widowControl/>
              <w:jc w:val="left"/>
              <w:rPr>
                <w:rFonts w:hint="default" w:ascii="黑体" w:hAnsi="宋体" w:eastAsia="黑体" w:cs="宋体"/>
                <w:kern w:val="0"/>
                <w:sz w:val="24"/>
                <w:lang w:val="en-US" w:eastAsia="zh-CN"/>
              </w:rPr>
            </w:pPr>
            <w:r>
              <w:rPr>
                <w:rFonts w:hint="eastAsia" w:ascii="黑体" w:hAnsi="宋体" w:eastAsia="黑体" w:cs="宋体"/>
                <w:kern w:val="0"/>
                <w:sz w:val="24"/>
                <w:lang w:val="en-US" w:eastAsia="zh-CN"/>
              </w:rPr>
              <w:t>2269.15</w:t>
            </w:r>
          </w:p>
        </w:tc>
        <w:tc>
          <w:tcPr>
            <w:tcW w:w="2865" w:type="dxa"/>
            <w:noWrap w:val="0"/>
            <w:vAlign w:val="center"/>
          </w:tcPr>
          <w:p>
            <w:pPr>
              <w:pStyle w:val="17"/>
              <w:widowControl/>
              <w:jc w:val="left"/>
              <w:rPr>
                <w:rFonts w:hint="eastAsia" w:ascii="黑体" w:hAnsi="宋体" w:eastAsia="黑体" w:cs="宋体"/>
                <w:kern w:val="0"/>
                <w:sz w:val="24"/>
                <w:lang w:val="en-US" w:eastAsia="zh-CN"/>
              </w:rPr>
            </w:pPr>
            <w:r>
              <w:rPr>
                <w:rFonts w:hint="eastAsia" w:ascii="黑体" w:hAnsi="宋体" w:eastAsia="黑体" w:cs="宋体"/>
                <w:kern w:val="0"/>
                <w:sz w:val="24"/>
                <w:lang w:val="en-US" w:eastAsia="zh-CN"/>
              </w:rPr>
              <w:t>0</w:t>
            </w:r>
          </w:p>
        </w:tc>
        <w:tc>
          <w:tcPr>
            <w:tcW w:w="2355" w:type="dxa"/>
            <w:noWrap w:val="0"/>
            <w:vAlign w:val="center"/>
          </w:tcPr>
          <w:p>
            <w:pPr>
              <w:pStyle w:val="17"/>
              <w:widowControl/>
              <w:jc w:val="left"/>
              <w:rPr>
                <w:rFonts w:hint="eastAsia" w:ascii="黑体" w:hAnsi="宋体" w:eastAsia="黑体" w:cs="宋体"/>
                <w:kern w:val="0"/>
                <w:sz w:val="24"/>
                <w:lang w:val="en-US" w:eastAsia="zh-CN"/>
              </w:rPr>
            </w:pPr>
            <w:r>
              <w:rPr>
                <w:rFonts w:hint="eastAsia" w:ascii="黑体" w:hAnsi="宋体" w:eastAsia="黑体" w:cs="宋体"/>
                <w:kern w:val="0"/>
                <w:sz w:val="24"/>
                <w:lang w:val="en-US" w:eastAsia="zh-CN"/>
              </w:rPr>
              <w:t>0</w:t>
            </w:r>
          </w:p>
        </w:tc>
        <w:tc>
          <w:tcPr>
            <w:tcW w:w="2520" w:type="dxa"/>
            <w:noWrap w:val="0"/>
            <w:vAlign w:val="center"/>
          </w:tcPr>
          <w:p>
            <w:pPr>
              <w:pStyle w:val="17"/>
              <w:widowControl/>
              <w:jc w:val="left"/>
              <w:rPr>
                <w:rFonts w:hint="default" w:ascii="黑体" w:hAnsi="宋体" w:eastAsia="黑体" w:cs="宋体"/>
                <w:kern w:val="0"/>
                <w:sz w:val="24"/>
                <w:lang w:val="en-US" w:eastAsia="zh-CN"/>
              </w:rPr>
            </w:pPr>
            <w:r>
              <w:rPr>
                <w:rFonts w:hint="eastAsia" w:ascii="黑体" w:hAnsi="宋体" w:eastAsia="黑体" w:cs="宋体"/>
                <w:kern w:val="0"/>
                <w:sz w:val="24"/>
                <w:lang w:val="en-US" w:eastAsia="zh-CN"/>
              </w:rPr>
              <w:t>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415" w:type="dxa"/>
            <w:gridSpan w:val="8"/>
            <w:noWrap w:val="0"/>
            <w:vAlign w:val="center"/>
          </w:tcPr>
          <w:p>
            <w:pPr>
              <w:pStyle w:val="17"/>
              <w:widowControl/>
              <w:jc w:val="center"/>
              <w:rPr>
                <w:rFonts w:ascii="黑体" w:hAnsi="宋体" w:eastAsia="黑体" w:cs="宋体"/>
                <w:b/>
                <w:bCs/>
                <w:kern w:val="0"/>
                <w:sz w:val="24"/>
              </w:rPr>
            </w:pPr>
            <w:r>
              <w:rPr>
                <w:rFonts w:hint="eastAsia" w:ascii="黑体" w:hAnsi="宋体" w:eastAsia="黑体" w:cs="宋体"/>
                <w:b/>
                <w:bCs/>
                <w:kern w:val="0"/>
                <w:sz w:val="24"/>
              </w:rPr>
              <w:t>单位年度实际支出（万元）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gridSpan w:val="2"/>
            <w:vMerge w:val="restart"/>
            <w:noWrap w:val="0"/>
            <w:vAlign w:val="center"/>
          </w:tcPr>
          <w:p>
            <w:pPr>
              <w:pStyle w:val="17"/>
              <w:widowControl/>
              <w:jc w:val="left"/>
              <w:rPr>
                <w:rFonts w:ascii="黑体" w:hAnsi="宋体" w:eastAsia="黑体" w:cs="宋体"/>
                <w:kern w:val="0"/>
                <w:sz w:val="24"/>
              </w:rPr>
            </w:pPr>
            <w:r>
              <w:rPr>
                <w:rFonts w:hint="eastAsia" w:ascii="黑体" w:hAnsi="宋体" w:eastAsia="黑体" w:cs="宋体"/>
                <w:kern w:val="0"/>
                <w:sz w:val="24"/>
              </w:rPr>
              <w:t xml:space="preserve">  支出合计</w:t>
            </w:r>
          </w:p>
        </w:tc>
        <w:tc>
          <w:tcPr>
            <w:tcW w:w="12255" w:type="dxa"/>
            <w:gridSpan w:val="6"/>
            <w:noWrap w:val="0"/>
            <w:vAlign w:val="center"/>
          </w:tcPr>
          <w:p>
            <w:pPr>
              <w:pStyle w:val="17"/>
              <w:widowControl/>
              <w:jc w:val="left"/>
              <w:rPr>
                <w:rFonts w:ascii="黑体" w:hAnsi="宋体" w:eastAsia="黑体" w:cs="宋体"/>
                <w:kern w:val="0"/>
                <w:sz w:val="24"/>
              </w:rPr>
            </w:pPr>
            <w:r>
              <w:rPr>
                <w:rFonts w:hint="eastAsia" w:ascii="黑体" w:hAnsi="宋体" w:eastAsia="黑体" w:cs="宋体"/>
                <w:kern w:val="0"/>
                <w:sz w:val="24"/>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gridSpan w:val="2"/>
            <w:vMerge w:val="continue"/>
            <w:noWrap w:val="0"/>
            <w:vAlign w:val="center"/>
          </w:tcPr>
          <w:p>
            <w:pPr>
              <w:pStyle w:val="17"/>
              <w:widowControl/>
              <w:jc w:val="left"/>
              <w:rPr>
                <w:rFonts w:ascii="黑体" w:hAnsi="宋体" w:eastAsia="黑体" w:cs="宋体"/>
                <w:kern w:val="0"/>
                <w:sz w:val="24"/>
              </w:rPr>
            </w:pPr>
          </w:p>
        </w:tc>
        <w:tc>
          <w:tcPr>
            <w:tcW w:w="2270" w:type="dxa"/>
            <w:vMerge w:val="restart"/>
            <w:noWrap w:val="0"/>
            <w:vAlign w:val="center"/>
          </w:tcPr>
          <w:p>
            <w:pPr>
              <w:pStyle w:val="17"/>
              <w:widowControl/>
              <w:jc w:val="center"/>
              <w:rPr>
                <w:rFonts w:ascii="黑体" w:hAnsi="宋体" w:eastAsia="黑体" w:cs="宋体"/>
                <w:kern w:val="0"/>
                <w:sz w:val="24"/>
              </w:rPr>
            </w:pPr>
            <w:r>
              <w:rPr>
                <w:rFonts w:hint="eastAsia" w:ascii="黑体" w:hAnsi="宋体" w:eastAsia="黑体" w:cs="宋体"/>
                <w:kern w:val="0"/>
                <w:sz w:val="24"/>
              </w:rPr>
              <w:t>基本支出</w:t>
            </w:r>
          </w:p>
        </w:tc>
        <w:tc>
          <w:tcPr>
            <w:tcW w:w="5110" w:type="dxa"/>
            <w:gridSpan w:val="3"/>
            <w:noWrap w:val="0"/>
            <w:vAlign w:val="center"/>
          </w:tcPr>
          <w:p>
            <w:pPr>
              <w:pStyle w:val="17"/>
              <w:widowControl/>
              <w:jc w:val="left"/>
              <w:rPr>
                <w:rFonts w:ascii="黑体" w:hAnsi="宋体" w:eastAsia="黑体" w:cs="宋体"/>
                <w:kern w:val="0"/>
                <w:sz w:val="24"/>
              </w:rPr>
            </w:pPr>
            <w:r>
              <w:rPr>
                <w:rFonts w:hint="eastAsia" w:ascii="黑体" w:hAnsi="宋体" w:eastAsia="黑体" w:cs="宋体"/>
                <w:kern w:val="0"/>
                <w:sz w:val="24"/>
              </w:rPr>
              <w:t>其中:</w:t>
            </w:r>
          </w:p>
        </w:tc>
        <w:tc>
          <w:tcPr>
            <w:tcW w:w="2355" w:type="dxa"/>
            <w:vMerge w:val="restart"/>
            <w:noWrap w:val="0"/>
            <w:vAlign w:val="center"/>
          </w:tcPr>
          <w:p>
            <w:pPr>
              <w:pStyle w:val="17"/>
              <w:widowControl/>
              <w:jc w:val="center"/>
              <w:rPr>
                <w:rFonts w:ascii="黑体" w:hAnsi="宋体" w:eastAsia="黑体" w:cs="宋体"/>
                <w:kern w:val="0"/>
                <w:sz w:val="24"/>
              </w:rPr>
            </w:pPr>
            <w:r>
              <w:rPr>
                <w:rFonts w:hint="eastAsia" w:ascii="黑体" w:hAnsi="宋体" w:eastAsia="黑体" w:cs="宋体"/>
                <w:kern w:val="0"/>
                <w:sz w:val="24"/>
              </w:rPr>
              <w:t>项目支出</w:t>
            </w:r>
          </w:p>
        </w:tc>
        <w:tc>
          <w:tcPr>
            <w:tcW w:w="2520" w:type="dxa"/>
            <w:vMerge w:val="restart"/>
            <w:noWrap w:val="0"/>
            <w:vAlign w:val="center"/>
          </w:tcPr>
          <w:p>
            <w:pPr>
              <w:pStyle w:val="17"/>
              <w:widowControl/>
              <w:jc w:val="center"/>
              <w:rPr>
                <w:rFonts w:ascii="黑体" w:hAnsi="宋体" w:eastAsia="黑体" w:cs="宋体"/>
                <w:kern w:val="0"/>
                <w:sz w:val="24"/>
              </w:rPr>
            </w:pPr>
            <w:r>
              <w:rPr>
                <w:rFonts w:hint="eastAsia" w:ascii="黑体" w:hAnsi="宋体" w:eastAsia="黑体" w:cs="宋体"/>
                <w:kern w:val="0"/>
                <w:sz w:val="24"/>
              </w:rPr>
              <w:t>经营支出及其他支出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160" w:type="dxa"/>
            <w:gridSpan w:val="2"/>
            <w:vMerge w:val="continue"/>
            <w:noWrap w:val="0"/>
            <w:vAlign w:val="center"/>
          </w:tcPr>
          <w:p>
            <w:pPr>
              <w:pStyle w:val="17"/>
              <w:widowControl/>
              <w:jc w:val="left"/>
              <w:rPr>
                <w:rFonts w:ascii="黑体" w:hAnsi="宋体" w:eastAsia="黑体" w:cs="宋体"/>
                <w:kern w:val="0"/>
                <w:sz w:val="24"/>
              </w:rPr>
            </w:pPr>
          </w:p>
        </w:tc>
        <w:tc>
          <w:tcPr>
            <w:tcW w:w="2270" w:type="dxa"/>
            <w:vMerge w:val="continue"/>
            <w:noWrap w:val="0"/>
            <w:vAlign w:val="center"/>
          </w:tcPr>
          <w:p>
            <w:pPr>
              <w:pStyle w:val="17"/>
              <w:widowControl/>
              <w:jc w:val="left"/>
              <w:rPr>
                <w:rFonts w:ascii="黑体" w:hAnsi="宋体" w:eastAsia="黑体" w:cs="宋体"/>
                <w:kern w:val="0"/>
                <w:sz w:val="24"/>
              </w:rPr>
            </w:pPr>
          </w:p>
        </w:tc>
        <w:tc>
          <w:tcPr>
            <w:tcW w:w="2245" w:type="dxa"/>
            <w:gridSpan w:val="2"/>
            <w:noWrap w:val="0"/>
            <w:vAlign w:val="center"/>
          </w:tcPr>
          <w:p>
            <w:pPr>
              <w:pStyle w:val="17"/>
              <w:widowControl/>
              <w:jc w:val="center"/>
              <w:rPr>
                <w:rFonts w:ascii="黑体" w:hAnsi="宋体" w:eastAsia="黑体" w:cs="宋体"/>
                <w:kern w:val="0"/>
                <w:sz w:val="24"/>
              </w:rPr>
            </w:pPr>
            <w:r>
              <w:rPr>
                <w:rFonts w:hint="eastAsia" w:ascii="黑体" w:hAnsi="宋体" w:eastAsia="黑体" w:cs="宋体"/>
                <w:kern w:val="0"/>
                <w:sz w:val="24"/>
              </w:rPr>
              <w:t>人员支出</w:t>
            </w:r>
          </w:p>
        </w:tc>
        <w:tc>
          <w:tcPr>
            <w:tcW w:w="2865" w:type="dxa"/>
            <w:noWrap w:val="0"/>
            <w:vAlign w:val="center"/>
          </w:tcPr>
          <w:p>
            <w:pPr>
              <w:pStyle w:val="17"/>
              <w:widowControl/>
              <w:jc w:val="left"/>
              <w:rPr>
                <w:rFonts w:ascii="黑体" w:hAnsi="宋体" w:eastAsia="黑体" w:cs="宋体"/>
                <w:kern w:val="0"/>
                <w:sz w:val="24"/>
              </w:rPr>
            </w:pPr>
            <w:r>
              <w:rPr>
                <w:rFonts w:hint="eastAsia" w:ascii="黑体" w:hAnsi="宋体" w:eastAsia="黑体" w:cs="宋体"/>
                <w:kern w:val="0"/>
                <w:sz w:val="24"/>
              </w:rPr>
              <w:t>日常公用支出</w:t>
            </w:r>
          </w:p>
        </w:tc>
        <w:tc>
          <w:tcPr>
            <w:tcW w:w="2355" w:type="dxa"/>
            <w:vMerge w:val="continue"/>
            <w:noWrap w:val="0"/>
            <w:vAlign w:val="center"/>
          </w:tcPr>
          <w:p>
            <w:pPr>
              <w:pStyle w:val="17"/>
              <w:widowControl/>
              <w:jc w:val="left"/>
              <w:rPr>
                <w:rFonts w:ascii="黑体" w:hAnsi="宋体" w:eastAsia="黑体" w:cs="宋体"/>
                <w:kern w:val="0"/>
                <w:sz w:val="24"/>
              </w:rPr>
            </w:pPr>
          </w:p>
        </w:tc>
        <w:tc>
          <w:tcPr>
            <w:tcW w:w="2520" w:type="dxa"/>
            <w:vMerge w:val="continue"/>
            <w:noWrap w:val="0"/>
            <w:vAlign w:val="center"/>
          </w:tcPr>
          <w:p>
            <w:pPr>
              <w:pStyle w:val="17"/>
              <w:widowControl/>
              <w:jc w:val="left"/>
              <w:rPr>
                <w:rFonts w:ascii="黑体" w:hAnsi="宋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60" w:type="dxa"/>
            <w:gridSpan w:val="2"/>
            <w:noWrap w:val="0"/>
            <w:vAlign w:val="center"/>
          </w:tcPr>
          <w:p>
            <w:pPr>
              <w:pStyle w:val="17"/>
              <w:widowControl/>
              <w:jc w:val="left"/>
              <w:rPr>
                <w:rFonts w:hint="default" w:ascii="黑体" w:hAnsi="宋体" w:eastAsia="黑体" w:cs="宋体"/>
                <w:kern w:val="0"/>
                <w:sz w:val="24"/>
                <w:lang w:val="en-US" w:eastAsia="zh-CN"/>
              </w:rPr>
            </w:pPr>
            <w:r>
              <w:rPr>
                <w:rFonts w:hint="eastAsia" w:ascii="黑体" w:hAnsi="宋体" w:eastAsia="黑体" w:cs="宋体"/>
                <w:kern w:val="0"/>
                <w:sz w:val="24"/>
                <w:lang w:val="en-US" w:eastAsia="zh-CN"/>
              </w:rPr>
              <w:t>2278.18</w:t>
            </w:r>
          </w:p>
        </w:tc>
        <w:tc>
          <w:tcPr>
            <w:tcW w:w="2270" w:type="dxa"/>
            <w:noWrap w:val="0"/>
            <w:vAlign w:val="center"/>
          </w:tcPr>
          <w:p>
            <w:pPr>
              <w:pStyle w:val="17"/>
              <w:widowControl/>
              <w:jc w:val="left"/>
              <w:rPr>
                <w:rFonts w:hint="default" w:ascii="黑体" w:hAnsi="宋体" w:eastAsia="黑体" w:cs="宋体"/>
                <w:kern w:val="0"/>
                <w:sz w:val="24"/>
                <w:lang w:val="en-US" w:eastAsia="zh-CN"/>
              </w:rPr>
            </w:pPr>
            <w:r>
              <w:rPr>
                <w:rFonts w:hint="eastAsia" w:ascii="黑体" w:hAnsi="宋体" w:eastAsia="黑体" w:cs="宋体"/>
                <w:kern w:val="0"/>
                <w:sz w:val="24"/>
                <w:lang w:val="en-US" w:eastAsia="zh-CN"/>
              </w:rPr>
              <w:t>1723.95</w:t>
            </w:r>
          </w:p>
        </w:tc>
        <w:tc>
          <w:tcPr>
            <w:tcW w:w="2245" w:type="dxa"/>
            <w:gridSpan w:val="2"/>
            <w:noWrap w:val="0"/>
            <w:vAlign w:val="center"/>
          </w:tcPr>
          <w:p>
            <w:pPr>
              <w:pStyle w:val="17"/>
              <w:widowControl/>
              <w:jc w:val="left"/>
              <w:rPr>
                <w:rFonts w:hint="default" w:ascii="黑体" w:hAnsi="宋体" w:eastAsia="黑体" w:cs="宋体"/>
                <w:kern w:val="0"/>
                <w:sz w:val="24"/>
                <w:lang w:val="en-US" w:eastAsia="zh-CN"/>
              </w:rPr>
            </w:pPr>
            <w:r>
              <w:rPr>
                <w:rFonts w:hint="eastAsia" w:ascii="黑体" w:hAnsi="宋体" w:eastAsia="黑体" w:cs="宋体"/>
                <w:kern w:val="0"/>
                <w:sz w:val="24"/>
                <w:lang w:val="en-US" w:eastAsia="zh-CN"/>
              </w:rPr>
              <w:t>1466.65</w:t>
            </w:r>
          </w:p>
        </w:tc>
        <w:tc>
          <w:tcPr>
            <w:tcW w:w="2865" w:type="dxa"/>
            <w:noWrap w:val="0"/>
            <w:vAlign w:val="center"/>
          </w:tcPr>
          <w:p>
            <w:pPr>
              <w:pStyle w:val="17"/>
              <w:widowControl/>
              <w:jc w:val="left"/>
              <w:rPr>
                <w:rFonts w:hint="default" w:ascii="黑体" w:hAnsi="宋体" w:eastAsia="黑体" w:cs="宋体"/>
                <w:kern w:val="0"/>
                <w:sz w:val="24"/>
                <w:lang w:val="en-US" w:eastAsia="zh-CN"/>
              </w:rPr>
            </w:pPr>
            <w:r>
              <w:rPr>
                <w:rFonts w:hint="eastAsia" w:ascii="黑体" w:hAnsi="宋体" w:eastAsia="黑体" w:cs="宋体"/>
                <w:kern w:val="0"/>
                <w:sz w:val="24"/>
                <w:lang w:val="en-US" w:eastAsia="zh-CN"/>
              </w:rPr>
              <w:t>633.79</w:t>
            </w:r>
          </w:p>
        </w:tc>
        <w:tc>
          <w:tcPr>
            <w:tcW w:w="2355" w:type="dxa"/>
            <w:noWrap w:val="0"/>
            <w:vAlign w:val="center"/>
          </w:tcPr>
          <w:p>
            <w:pPr>
              <w:pStyle w:val="17"/>
              <w:widowControl/>
              <w:jc w:val="left"/>
              <w:rPr>
                <w:rFonts w:hint="default" w:ascii="黑体" w:hAnsi="宋体" w:eastAsia="黑体" w:cs="宋体"/>
                <w:kern w:val="0"/>
                <w:sz w:val="24"/>
                <w:lang w:val="en-US" w:eastAsia="zh-CN"/>
              </w:rPr>
            </w:pPr>
            <w:r>
              <w:rPr>
                <w:rFonts w:hint="eastAsia" w:ascii="黑体" w:hAnsi="宋体" w:eastAsia="黑体" w:cs="宋体"/>
                <w:kern w:val="0"/>
                <w:sz w:val="24"/>
                <w:lang w:val="en-US" w:eastAsia="zh-CN"/>
              </w:rPr>
              <w:t>554.23</w:t>
            </w:r>
          </w:p>
        </w:tc>
        <w:tc>
          <w:tcPr>
            <w:tcW w:w="2520" w:type="dxa"/>
            <w:noWrap w:val="0"/>
            <w:vAlign w:val="center"/>
          </w:tcPr>
          <w:p>
            <w:pPr>
              <w:pStyle w:val="17"/>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4415" w:type="dxa"/>
            <w:gridSpan w:val="8"/>
            <w:noWrap w:val="0"/>
            <w:vAlign w:val="center"/>
          </w:tcPr>
          <w:p>
            <w:pPr>
              <w:pStyle w:val="17"/>
              <w:widowControl/>
              <w:jc w:val="center"/>
              <w:rPr>
                <w:rFonts w:hint="eastAsia" w:ascii="宋体" w:hAnsi="宋体" w:cs="宋体"/>
                <w:kern w:val="0"/>
                <w:sz w:val="24"/>
              </w:rPr>
            </w:pPr>
            <w:r>
              <w:rPr>
                <w:rFonts w:hint="eastAsia" w:ascii="黑体" w:hAnsi="宋体" w:eastAsia="黑体" w:cs="宋体"/>
                <w:b/>
                <w:bCs/>
                <w:kern w:val="0"/>
                <w:sz w:val="24"/>
              </w:rPr>
              <w:t>年度绩效状况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1635" w:type="dxa"/>
            <w:noWrap w:val="0"/>
            <w:vAlign w:val="center"/>
          </w:tcPr>
          <w:p>
            <w:pPr>
              <w:pStyle w:val="17"/>
              <w:widowControl/>
              <w:jc w:val="center"/>
              <w:rPr>
                <w:rFonts w:ascii="黑体" w:hAnsi="宋体" w:eastAsia="黑体" w:cs="宋体"/>
                <w:b/>
                <w:bCs/>
                <w:kern w:val="0"/>
                <w:sz w:val="24"/>
              </w:rPr>
            </w:pPr>
            <w:r>
              <w:rPr>
                <w:rFonts w:hint="eastAsia" w:ascii="黑体" w:hAnsi="宋体" w:eastAsia="黑体" w:cs="宋体"/>
                <w:b/>
                <w:bCs/>
                <w:kern w:val="0"/>
                <w:sz w:val="24"/>
              </w:rPr>
              <w:t>单位</w:t>
            </w:r>
            <w:r>
              <w:rPr>
                <w:rFonts w:hint="eastAsia" w:ascii="黑体" w:hAnsi="黑体" w:eastAsia="黑体" w:cs="黑体"/>
                <w:b/>
                <w:bCs/>
                <w:sz w:val="24"/>
              </w:rPr>
              <w:t>年度财政支出整体绩效目标总体描述</w:t>
            </w:r>
          </w:p>
        </w:tc>
        <w:tc>
          <w:tcPr>
            <w:tcW w:w="12780" w:type="dxa"/>
            <w:gridSpan w:val="7"/>
            <w:noWrap w:val="0"/>
            <w:vAlign w:val="center"/>
          </w:tcPr>
          <w:p>
            <w:pPr>
              <w:pStyle w:val="17"/>
              <w:spacing w:line="288" w:lineRule="auto"/>
              <w:rPr>
                <w:rFonts w:hint="eastAsia" w:ascii="仿宋_GB2312" w:hAnsi="仿宋_GB2312" w:eastAsia="仿宋_GB2312"/>
                <w:sz w:val="24"/>
                <w:szCs w:val="30"/>
              </w:rPr>
            </w:pPr>
            <w:r>
              <w:rPr>
                <w:rFonts w:hint="eastAsia" w:ascii="宋体" w:hAnsi="宋体" w:cs="宋体"/>
                <w:kern w:val="0"/>
                <w:sz w:val="24"/>
              </w:rPr>
              <w:t xml:space="preserve">    </w:t>
            </w:r>
            <w:r>
              <w:rPr>
                <w:rFonts w:hint="eastAsia" w:ascii="仿宋_GB2312" w:hAnsi="仿宋_GB2312" w:eastAsia="仿宋_GB2312" w:cs="Times New Roman"/>
                <w:sz w:val="24"/>
                <w:szCs w:val="30"/>
              </w:rPr>
              <w:t>近年来，我国经济高速发展，社会持续进步。但未成年人犯罪尤为突出，因此预防未成年人违法犯罪，是摆在我们面前的一件亟待解决的大事。我院为了预防未成年人犯罪的发生，强化校园和社区的教育，将未成年人教育作为首要任务，深入下去广泛宣传，保障未成年人健康成长。该项目实施后，未成年人环境氛围得到有效地营造，广大民众的法制意识也得到提高。</w:t>
            </w:r>
            <w:r>
              <w:rPr>
                <w:rFonts w:hint="eastAsia" w:ascii="仿宋_GB2312" w:hAnsi="仿宋_GB2312" w:eastAsia="仿宋_GB2312" w:cs="Times New Roman"/>
                <w:sz w:val="24"/>
                <w:szCs w:val="30"/>
                <w:lang w:eastAsia="zh-CN"/>
              </w:rPr>
              <w:t>智慧数字化大力开展“智慧庆检”。</w:t>
            </w:r>
            <w:r>
              <w:rPr>
                <w:rFonts w:hint="eastAsia" w:ascii="仿宋_GB2312" w:hAnsi="仿宋_GB2312" w:eastAsia="仿宋_GB2312" w:cs="Times New Roman"/>
                <w:sz w:val="24"/>
                <w:szCs w:val="30"/>
              </w:rPr>
              <w:t>贯彻“整体智治、协同高效”理念，积极打造2.0版办案区，推进听证室、律师会见室的基础设施建设</w:t>
            </w:r>
            <w:r>
              <w:rPr>
                <w:rFonts w:hint="eastAsia" w:ascii="仿宋_GB2312" w:hAnsi="仿宋_GB2312" w:eastAsia="仿宋_GB2312" w:cs="Times New Roman"/>
                <w:sz w:val="24"/>
                <w:szCs w:val="30"/>
                <w:lang w:eastAsia="zh-CN"/>
              </w:rPr>
              <w:t>，其中</w:t>
            </w:r>
            <w:r>
              <w:rPr>
                <w:rFonts w:hint="eastAsia" w:ascii="仿宋_GB2312" w:hAnsi="仿宋_GB2312" w:eastAsia="仿宋_GB2312" w:cs="Times New Roman"/>
                <w:sz w:val="24"/>
                <w:szCs w:val="30"/>
                <w:lang w:val="en-US" w:eastAsia="zh-CN"/>
              </w:rPr>
              <w:t>就野生动植物保护、虚假诉讼等工作开展公开听证案件11件，达到了“以公开促公正”良好效果。</w:t>
            </w:r>
            <w:r>
              <w:rPr>
                <w:rFonts w:hint="eastAsia" w:ascii="仿宋_GB2312" w:hAnsi="仿宋_GB2312" w:eastAsia="仿宋_GB2312" w:cs="Times New Roman"/>
                <w:sz w:val="24"/>
                <w:szCs w:val="30"/>
              </w:rPr>
              <w:t>打造业务数据“智汇”中心</w:t>
            </w:r>
            <w:r>
              <w:rPr>
                <w:rFonts w:hint="eastAsia" w:ascii="仿宋_GB2312" w:hAnsi="仿宋_GB2312" w:eastAsia="仿宋_GB2312" w:cs="Times New Roman"/>
                <w:sz w:val="24"/>
                <w:szCs w:val="30"/>
                <w:lang w:eastAsia="zh-CN"/>
              </w:rPr>
              <w:t>，</w:t>
            </w:r>
            <w:r>
              <w:rPr>
                <w:rFonts w:hint="eastAsia" w:ascii="仿宋_GB2312" w:hAnsi="仿宋_GB2312" w:eastAsia="仿宋_GB2312" w:cs="Times New Roman"/>
                <w:sz w:val="24"/>
                <w:szCs w:val="30"/>
              </w:rPr>
              <w:t>通过对接</w:t>
            </w:r>
            <w:r>
              <w:rPr>
                <w:rFonts w:hint="eastAsia" w:ascii="仿宋_GB2312" w:hAnsi="仿宋_GB2312" w:eastAsia="仿宋_GB2312" w:cs="Times New Roman"/>
                <w:sz w:val="24"/>
                <w:szCs w:val="30"/>
                <w:lang w:eastAsia="zh-CN"/>
              </w:rPr>
              <w:t>统一业务系统</w:t>
            </w:r>
            <w:r>
              <w:rPr>
                <w:rFonts w:hint="eastAsia" w:ascii="仿宋_GB2312" w:hAnsi="仿宋_GB2312" w:eastAsia="仿宋_GB2312" w:cs="Times New Roman"/>
                <w:sz w:val="24"/>
                <w:szCs w:val="30"/>
              </w:rPr>
              <w:t>，实时追踪分析各条线数据情况，</w:t>
            </w:r>
            <w:r>
              <w:rPr>
                <w:rFonts w:hint="eastAsia" w:ascii="仿宋_GB2312" w:hAnsi="仿宋_GB2312" w:eastAsia="仿宋_GB2312" w:cs="Times New Roman"/>
                <w:sz w:val="24"/>
                <w:szCs w:val="30"/>
                <w:lang w:val="en-US" w:eastAsia="zh-CN"/>
              </w:rPr>
              <w:t>根据省检察院绩效考核办法，对各基层检察院各业务条线的考核数据进行智能计分评价，目前该软件已在</w:t>
            </w:r>
            <w:r>
              <w:rPr>
                <w:rFonts w:hint="eastAsia" w:ascii="仿宋_GB2312" w:hAnsi="仿宋_GB2312" w:eastAsia="仿宋_GB2312" w:cs="Times New Roman"/>
                <w:sz w:val="24"/>
                <w:szCs w:val="30"/>
              </w:rPr>
              <w:t>浙江检察APP</w:t>
            </w:r>
            <w:r>
              <w:rPr>
                <w:rFonts w:hint="eastAsia" w:ascii="仿宋_GB2312" w:hAnsi="仿宋_GB2312" w:eastAsia="仿宋_GB2312" w:cs="Times New Roman"/>
                <w:sz w:val="24"/>
                <w:szCs w:val="30"/>
                <w:lang w:val="en-US" w:eastAsia="zh-CN"/>
              </w:rPr>
              <w:t>线上运行，为基层检察院和部门各条线掌握业务工作情况，为领导决策提供参考</w:t>
            </w:r>
            <w:r>
              <w:rPr>
                <w:rFonts w:hint="eastAsia" w:ascii="仿宋_GB2312" w:hAnsi="仿宋_GB2312" w:eastAsia="仿宋_GB2312" w:cs="Times New Roman"/>
                <w:sz w:val="24"/>
                <w:szCs w:val="30"/>
              </w:rPr>
              <w:t>。</w:t>
            </w:r>
          </w:p>
          <w:p>
            <w:pPr>
              <w:pStyle w:val="17"/>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635" w:type="dxa"/>
            <w:noWrap w:val="0"/>
            <w:vAlign w:val="center"/>
          </w:tcPr>
          <w:p>
            <w:pPr>
              <w:pStyle w:val="17"/>
              <w:widowControl/>
              <w:jc w:val="center"/>
              <w:rPr>
                <w:rFonts w:hint="eastAsia" w:ascii="黑体" w:hAnsi="宋体" w:eastAsia="黑体" w:cs="宋体"/>
                <w:b/>
                <w:bCs/>
                <w:kern w:val="0"/>
                <w:sz w:val="24"/>
              </w:rPr>
            </w:pPr>
            <w:r>
              <w:rPr>
                <w:rFonts w:hint="eastAsia" w:ascii="黑体" w:hAnsi="宋体" w:eastAsia="黑体" w:cs="宋体"/>
                <w:b/>
                <w:bCs/>
                <w:kern w:val="0"/>
                <w:sz w:val="24"/>
              </w:rPr>
              <w:t>目标设置和年度财政收支的主要依据及说明</w:t>
            </w:r>
          </w:p>
        </w:tc>
        <w:tc>
          <w:tcPr>
            <w:tcW w:w="12780" w:type="dxa"/>
            <w:gridSpan w:val="7"/>
            <w:noWrap w:val="0"/>
            <w:vAlign w:val="center"/>
          </w:tcPr>
          <w:p>
            <w:pPr>
              <w:pStyle w:val="17"/>
              <w:widowControl/>
              <w:jc w:val="left"/>
              <w:rPr>
                <w:rFonts w:hint="eastAsia" w:ascii="宋体" w:hAnsi="宋体" w:cs="宋体"/>
                <w:kern w:val="0"/>
                <w:sz w:val="24"/>
              </w:rPr>
            </w:pPr>
            <w:r>
              <w:rPr>
                <w:rFonts w:hint="eastAsia"/>
                <w:lang w:eastAsia="zh-CN"/>
              </w:rPr>
              <w:t>《关于编制</w:t>
            </w:r>
            <w:r>
              <w:rPr>
                <w:rFonts w:hint="eastAsia"/>
                <w:lang w:val="en-US" w:eastAsia="zh-CN"/>
              </w:rPr>
              <w:t>2023年度部门预算的通知》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635" w:type="dxa"/>
            <w:vMerge w:val="restart"/>
            <w:noWrap w:val="0"/>
            <w:vAlign w:val="center"/>
          </w:tcPr>
          <w:p>
            <w:pPr>
              <w:pStyle w:val="17"/>
              <w:widowControl/>
              <w:jc w:val="center"/>
              <w:rPr>
                <w:rFonts w:ascii="黑体" w:hAnsi="宋体" w:eastAsia="黑体" w:cs="宋体"/>
                <w:b/>
                <w:bCs/>
                <w:kern w:val="0"/>
                <w:sz w:val="24"/>
              </w:rPr>
            </w:pPr>
            <w:r>
              <w:rPr>
                <w:rFonts w:hint="eastAsia" w:ascii="黑体" w:hAnsi="宋体" w:eastAsia="黑体" w:cs="宋体"/>
                <w:b/>
                <w:bCs/>
                <w:kern w:val="0"/>
                <w:sz w:val="24"/>
              </w:rPr>
              <w:t>本年度提供的公共产品或服务</w:t>
            </w:r>
          </w:p>
        </w:tc>
        <w:tc>
          <w:tcPr>
            <w:tcW w:w="2795" w:type="dxa"/>
            <w:gridSpan w:val="2"/>
            <w:noWrap w:val="0"/>
            <w:vAlign w:val="center"/>
          </w:tcPr>
          <w:p>
            <w:pPr>
              <w:pStyle w:val="17"/>
              <w:widowControl/>
              <w:jc w:val="center"/>
              <w:rPr>
                <w:rFonts w:hint="eastAsia" w:ascii="宋体" w:hAnsi="宋体" w:cs="宋体"/>
                <w:kern w:val="0"/>
                <w:sz w:val="24"/>
              </w:rPr>
            </w:pPr>
            <w:r>
              <w:rPr>
                <w:rFonts w:hint="eastAsia" w:ascii="宋体" w:hAnsi="宋体" w:cs="宋体"/>
                <w:kern w:val="0"/>
                <w:sz w:val="24"/>
              </w:rPr>
              <w:t>服务名称</w:t>
            </w:r>
          </w:p>
        </w:tc>
        <w:tc>
          <w:tcPr>
            <w:tcW w:w="5110" w:type="dxa"/>
            <w:gridSpan w:val="3"/>
            <w:noWrap w:val="0"/>
            <w:vAlign w:val="center"/>
          </w:tcPr>
          <w:p>
            <w:pPr>
              <w:pStyle w:val="17"/>
              <w:widowControl/>
              <w:jc w:val="center"/>
              <w:rPr>
                <w:rFonts w:ascii="宋体" w:hAnsi="宋体" w:cs="宋体"/>
                <w:kern w:val="0"/>
                <w:sz w:val="24"/>
              </w:rPr>
            </w:pPr>
            <w:r>
              <w:rPr>
                <w:rFonts w:hint="eastAsia" w:ascii="宋体" w:hAnsi="宋体" w:cs="宋体"/>
                <w:kern w:val="0"/>
                <w:sz w:val="24"/>
              </w:rPr>
              <w:t>计  划</w:t>
            </w:r>
          </w:p>
        </w:tc>
        <w:tc>
          <w:tcPr>
            <w:tcW w:w="4875" w:type="dxa"/>
            <w:gridSpan w:val="2"/>
            <w:noWrap w:val="0"/>
            <w:vAlign w:val="center"/>
          </w:tcPr>
          <w:p>
            <w:pPr>
              <w:pStyle w:val="17"/>
              <w:widowControl/>
              <w:jc w:val="center"/>
              <w:rPr>
                <w:rFonts w:ascii="宋体" w:hAnsi="宋体" w:cs="宋体"/>
                <w:kern w:val="0"/>
                <w:sz w:val="24"/>
              </w:rPr>
            </w:pPr>
            <w:r>
              <w:rPr>
                <w:rFonts w:hint="eastAsia" w:ascii="宋体" w:hAnsi="宋体" w:cs="宋体"/>
                <w:kern w:val="0"/>
                <w:sz w:val="24"/>
              </w:rPr>
              <w:t>实  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635" w:type="dxa"/>
            <w:vMerge w:val="continue"/>
            <w:noWrap w:val="0"/>
            <w:vAlign w:val="center"/>
          </w:tcPr>
          <w:p>
            <w:pPr>
              <w:pStyle w:val="17"/>
              <w:widowControl/>
              <w:jc w:val="left"/>
              <w:rPr>
                <w:rFonts w:ascii="黑体" w:hAnsi="宋体" w:eastAsia="黑体" w:cs="宋体"/>
                <w:b/>
                <w:bCs/>
                <w:kern w:val="0"/>
                <w:sz w:val="24"/>
              </w:rPr>
            </w:pPr>
          </w:p>
        </w:tc>
        <w:tc>
          <w:tcPr>
            <w:tcW w:w="2795" w:type="dxa"/>
            <w:gridSpan w:val="2"/>
            <w:noWrap w:val="0"/>
            <w:vAlign w:val="center"/>
          </w:tcPr>
          <w:p>
            <w:pPr>
              <w:pStyle w:val="17"/>
              <w:widowControl/>
              <w:jc w:val="center"/>
              <w:rPr>
                <w:rFonts w:hint="eastAsia" w:ascii="宋体" w:hAnsi="宋体" w:eastAsia="宋体" w:cs="宋体"/>
                <w:kern w:val="0"/>
                <w:sz w:val="24"/>
                <w:lang w:eastAsia="zh-CN"/>
              </w:rPr>
            </w:pPr>
            <w:r>
              <w:rPr>
                <w:rFonts w:hint="eastAsia" w:ascii="宋体" w:hAnsi="宋体" w:cs="宋体"/>
                <w:kern w:val="0"/>
                <w:sz w:val="24"/>
                <w:lang w:eastAsia="zh-CN"/>
              </w:rPr>
              <w:t>法治宣传教育经费</w:t>
            </w:r>
          </w:p>
        </w:tc>
        <w:tc>
          <w:tcPr>
            <w:tcW w:w="5110" w:type="dxa"/>
            <w:gridSpan w:val="3"/>
            <w:noWrap w:val="0"/>
            <w:vAlign w:val="top"/>
          </w:tcPr>
          <w:p>
            <w:pPr>
              <w:pStyle w:val="17"/>
              <w:widowControl/>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150000元</w:t>
            </w:r>
          </w:p>
        </w:tc>
        <w:tc>
          <w:tcPr>
            <w:tcW w:w="4875" w:type="dxa"/>
            <w:gridSpan w:val="2"/>
            <w:noWrap w:val="0"/>
            <w:vAlign w:val="top"/>
          </w:tcPr>
          <w:p>
            <w:pPr>
              <w:pStyle w:val="17"/>
              <w:widowControl/>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150000元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635" w:type="dxa"/>
            <w:vMerge w:val="continue"/>
            <w:noWrap w:val="0"/>
            <w:vAlign w:val="center"/>
          </w:tcPr>
          <w:p>
            <w:pPr>
              <w:pStyle w:val="17"/>
              <w:widowControl/>
              <w:jc w:val="left"/>
              <w:rPr>
                <w:rFonts w:ascii="黑体" w:hAnsi="宋体" w:eastAsia="黑体" w:cs="宋体"/>
                <w:b/>
                <w:bCs/>
                <w:kern w:val="0"/>
                <w:sz w:val="24"/>
              </w:rPr>
            </w:pPr>
          </w:p>
        </w:tc>
        <w:tc>
          <w:tcPr>
            <w:tcW w:w="2795" w:type="dxa"/>
            <w:gridSpan w:val="2"/>
            <w:noWrap w:val="0"/>
            <w:vAlign w:val="center"/>
          </w:tcPr>
          <w:p>
            <w:pPr>
              <w:pStyle w:val="17"/>
              <w:widowControl/>
              <w:jc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zh-HK"/>
              </w:rPr>
              <w:t>“科技强检”建设与应用经费</w:t>
            </w:r>
          </w:p>
        </w:tc>
        <w:tc>
          <w:tcPr>
            <w:tcW w:w="5110" w:type="dxa"/>
            <w:gridSpan w:val="3"/>
            <w:noWrap w:val="0"/>
            <w:vAlign w:val="top"/>
          </w:tcPr>
          <w:p>
            <w:pPr>
              <w:pStyle w:val="17"/>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300000元</w:t>
            </w:r>
          </w:p>
        </w:tc>
        <w:tc>
          <w:tcPr>
            <w:tcW w:w="4875" w:type="dxa"/>
            <w:gridSpan w:val="2"/>
            <w:noWrap w:val="0"/>
            <w:vAlign w:val="top"/>
          </w:tcPr>
          <w:p>
            <w:pPr>
              <w:pStyle w:val="17"/>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300000元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635" w:type="dxa"/>
            <w:vMerge w:val="restart"/>
            <w:noWrap w:val="0"/>
            <w:vAlign w:val="center"/>
          </w:tcPr>
          <w:p>
            <w:pPr>
              <w:pStyle w:val="17"/>
              <w:widowControl/>
              <w:jc w:val="center"/>
              <w:rPr>
                <w:rFonts w:hint="eastAsia" w:ascii="黑体" w:hAnsi="宋体" w:eastAsia="黑体" w:cs="宋体"/>
                <w:b/>
                <w:bCs/>
                <w:kern w:val="0"/>
                <w:sz w:val="24"/>
              </w:rPr>
            </w:pPr>
            <w:r>
              <w:rPr>
                <w:rFonts w:hint="eastAsia" w:ascii="黑体" w:hAnsi="宋体" w:eastAsia="黑体" w:cs="宋体"/>
                <w:b/>
                <w:bCs/>
                <w:kern w:val="0"/>
                <w:sz w:val="24"/>
              </w:rPr>
              <w:t>本年度取得的实际效益</w:t>
            </w:r>
          </w:p>
        </w:tc>
        <w:tc>
          <w:tcPr>
            <w:tcW w:w="2795" w:type="dxa"/>
            <w:gridSpan w:val="2"/>
            <w:noWrap w:val="0"/>
            <w:vAlign w:val="center"/>
          </w:tcPr>
          <w:p>
            <w:pPr>
              <w:pStyle w:val="17"/>
              <w:widowControl/>
              <w:jc w:val="center"/>
              <w:rPr>
                <w:rFonts w:hint="eastAsia" w:ascii="宋体" w:hAnsi="宋体" w:cs="宋体"/>
                <w:kern w:val="0"/>
                <w:sz w:val="24"/>
              </w:rPr>
            </w:pPr>
            <w:r>
              <w:rPr>
                <w:rFonts w:hint="eastAsia" w:ascii="宋体" w:hAnsi="宋体" w:cs="宋体"/>
                <w:kern w:val="0"/>
                <w:sz w:val="24"/>
              </w:rPr>
              <w:t>效益名称</w:t>
            </w:r>
          </w:p>
        </w:tc>
        <w:tc>
          <w:tcPr>
            <w:tcW w:w="5110" w:type="dxa"/>
            <w:gridSpan w:val="3"/>
            <w:noWrap w:val="0"/>
            <w:vAlign w:val="center"/>
          </w:tcPr>
          <w:p>
            <w:pPr>
              <w:pStyle w:val="17"/>
              <w:widowControl/>
              <w:jc w:val="center"/>
              <w:rPr>
                <w:rFonts w:ascii="宋体" w:hAnsi="宋体" w:cs="宋体"/>
                <w:kern w:val="0"/>
                <w:sz w:val="24"/>
              </w:rPr>
            </w:pPr>
            <w:r>
              <w:rPr>
                <w:rFonts w:hint="eastAsia" w:ascii="宋体" w:hAnsi="宋体" w:cs="宋体"/>
                <w:kern w:val="0"/>
                <w:sz w:val="24"/>
              </w:rPr>
              <w:t>计  划</w:t>
            </w:r>
          </w:p>
        </w:tc>
        <w:tc>
          <w:tcPr>
            <w:tcW w:w="4875" w:type="dxa"/>
            <w:gridSpan w:val="2"/>
            <w:noWrap w:val="0"/>
            <w:vAlign w:val="center"/>
          </w:tcPr>
          <w:p>
            <w:pPr>
              <w:pStyle w:val="17"/>
              <w:widowControl/>
              <w:jc w:val="center"/>
              <w:rPr>
                <w:rFonts w:ascii="宋体" w:hAnsi="宋体" w:cs="宋体"/>
                <w:kern w:val="0"/>
                <w:sz w:val="24"/>
              </w:rPr>
            </w:pPr>
            <w:r>
              <w:rPr>
                <w:rFonts w:hint="eastAsia" w:ascii="宋体" w:hAnsi="宋体" w:cs="宋体"/>
                <w:kern w:val="0"/>
                <w:sz w:val="24"/>
              </w:rPr>
              <w:t>实  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635" w:type="dxa"/>
            <w:vMerge w:val="continue"/>
            <w:noWrap w:val="0"/>
            <w:vAlign w:val="center"/>
          </w:tcPr>
          <w:p>
            <w:pPr>
              <w:pStyle w:val="17"/>
              <w:widowControl/>
              <w:jc w:val="left"/>
              <w:rPr>
                <w:rFonts w:ascii="黑体" w:hAnsi="宋体" w:eastAsia="黑体" w:cs="宋体"/>
                <w:b/>
                <w:bCs/>
                <w:kern w:val="0"/>
                <w:sz w:val="24"/>
              </w:rPr>
            </w:pPr>
          </w:p>
        </w:tc>
        <w:tc>
          <w:tcPr>
            <w:tcW w:w="2795" w:type="dxa"/>
            <w:gridSpan w:val="2"/>
            <w:noWrap w:val="0"/>
            <w:vAlign w:val="center"/>
          </w:tcPr>
          <w:p>
            <w:pPr>
              <w:pStyle w:val="17"/>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lang w:eastAsia="zh-CN"/>
              </w:rPr>
              <w:t>法治宣传覆盖率</w:t>
            </w:r>
          </w:p>
        </w:tc>
        <w:tc>
          <w:tcPr>
            <w:tcW w:w="5110" w:type="dxa"/>
            <w:gridSpan w:val="3"/>
            <w:noWrap w:val="0"/>
            <w:vAlign w:val="center"/>
          </w:tcPr>
          <w:p>
            <w:pPr>
              <w:pStyle w:val="17"/>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100%</w:t>
            </w:r>
          </w:p>
        </w:tc>
        <w:tc>
          <w:tcPr>
            <w:tcW w:w="4875" w:type="dxa"/>
            <w:gridSpan w:val="2"/>
            <w:noWrap w:val="0"/>
            <w:vAlign w:val="center"/>
          </w:tcPr>
          <w:p>
            <w:pPr>
              <w:pStyle w:val="17"/>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635" w:type="dxa"/>
            <w:vMerge w:val="continue"/>
            <w:noWrap w:val="0"/>
            <w:vAlign w:val="center"/>
          </w:tcPr>
          <w:p>
            <w:pPr>
              <w:pStyle w:val="17"/>
              <w:widowControl/>
              <w:jc w:val="left"/>
              <w:rPr>
                <w:rFonts w:ascii="黑体" w:hAnsi="宋体" w:eastAsia="黑体" w:cs="宋体"/>
                <w:b/>
                <w:bCs/>
                <w:kern w:val="0"/>
                <w:sz w:val="24"/>
              </w:rPr>
            </w:pPr>
          </w:p>
        </w:tc>
        <w:tc>
          <w:tcPr>
            <w:tcW w:w="2795" w:type="dxa"/>
            <w:gridSpan w:val="2"/>
            <w:noWrap w:val="0"/>
            <w:vAlign w:val="center"/>
          </w:tcPr>
          <w:p>
            <w:pPr>
              <w:pStyle w:val="17"/>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lang w:eastAsia="zh-CN"/>
              </w:rPr>
              <w:t>业务数据及智慧检务推广率</w:t>
            </w:r>
          </w:p>
        </w:tc>
        <w:tc>
          <w:tcPr>
            <w:tcW w:w="5110" w:type="dxa"/>
            <w:gridSpan w:val="3"/>
            <w:noWrap w:val="0"/>
            <w:vAlign w:val="center"/>
          </w:tcPr>
          <w:p>
            <w:pPr>
              <w:pStyle w:val="17"/>
              <w:widowControl/>
              <w:ind w:firstLine="2160" w:firstLineChars="900"/>
              <w:jc w:val="left"/>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100%</w:t>
            </w:r>
          </w:p>
        </w:tc>
        <w:tc>
          <w:tcPr>
            <w:tcW w:w="4875" w:type="dxa"/>
            <w:gridSpan w:val="2"/>
            <w:noWrap w:val="0"/>
            <w:vAlign w:val="center"/>
          </w:tcPr>
          <w:p>
            <w:pPr>
              <w:pStyle w:val="17"/>
              <w:widowControl/>
              <w:ind w:firstLine="2160" w:firstLineChars="900"/>
              <w:jc w:val="left"/>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7" w:hRule="atLeast"/>
        </w:trPr>
        <w:tc>
          <w:tcPr>
            <w:tcW w:w="1635" w:type="dxa"/>
            <w:noWrap w:val="0"/>
            <w:vAlign w:val="center"/>
          </w:tcPr>
          <w:p>
            <w:pPr>
              <w:pStyle w:val="17"/>
              <w:widowControl/>
              <w:jc w:val="center"/>
              <w:rPr>
                <w:rFonts w:hint="eastAsia" w:ascii="黑体" w:hAnsi="黑体" w:eastAsia="黑体" w:cs="黑体"/>
                <w:b/>
                <w:bCs/>
                <w:kern w:val="0"/>
                <w:sz w:val="24"/>
              </w:rPr>
            </w:pPr>
            <w:r>
              <w:rPr>
                <w:rFonts w:hint="eastAsia" w:ascii="黑体" w:hAnsi="黑体" w:eastAsia="黑体" w:cs="黑体"/>
                <w:b/>
                <w:bCs/>
                <w:kern w:val="0"/>
                <w:sz w:val="24"/>
              </w:rPr>
              <w:t>服务对象（受益者及相关群体）满意度</w:t>
            </w:r>
          </w:p>
        </w:tc>
        <w:tc>
          <w:tcPr>
            <w:tcW w:w="12780" w:type="dxa"/>
            <w:gridSpan w:val="7"/>
            <w:noWrap w:val="0"/>
            <w:vAlign w:val="center"/>
          </w:tcPr>
          <w:p>
            <w:pPr>
              <w:pStyle w:val="17"/>
              <w:widowControl/>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eastAsia="zh-CN"/>
              </w:rPr>
              <w:t>群众及学校、企业工人法治宣传满意度达</w:t>
            </w:r>
            <w:r>
              <w:rPr>
                <w:rFonts w:hint="eastAsia" w:ascii="宋体" w:hAnsi="宋体" w:cs="宋体"/>
                <w:kern w:val="0"/>
                <w:sz w:val="24"/>
                <w:lang w:val="en-US" w:eastAsia="zh-CN"/>
              </w:rPr>
              <w:t>99%；全院干警对业务智汇中心满意度达100%、群众对智慧检务满意度达90%以上。</w:t>
            </w:r>
          </w:p>
        </w:tc>
      </w:tr>
    </w:tbl>
    <w:p>
      <w:pPr>
        <w:pStyle w:val="17"/>
      </w:pPr>
    </w:p>
    <w:sectPr>
      <w:pgSz w:w="16838" w:h="11906" w:orient="landscape"/>
      <w:pgMar w:top="1797" w:right="1440" w:bottom="1797" w:left="1440" w:header="851" w:footer="992" w:gutter="0"/>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L18eOjoAQAA&#10;vQMAAA4AAAAAAAAAAQAgAAAAHwEAAGRycy9lMm9Eb2MueG1sUEsFBgAAAAAGAAYAWQEAAHkFAAAA&#10;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31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0NzhiYjMyYmZjODBlNjAzMTYwY2M4YTlmYzA3MDMifQ=="/>
  </w:docVars>
  <w:rsids>
    <w:rsidRoot w:val="00000000"/>
    <w:rsid w:val="308E205A"/>
    <w:rsid w:val="72B32DAE"/>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6"/>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rPr>
  </w:style>
  <w:style w:type="table" w:styleId="11">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Strong"/>
    <w:basedOn w:val="12"/>
    <w:qFormat/>
    <w:uiPriority w:val="0"/>
    <w:rPr>
      <w:b/>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character" w:customStyle="1" w:styleId="15">
    <w:name w:val="标题 1 Char"/>
    <w:link w:val="2"/>
    <w:qFormat/>
    <w:uiPriority w:val="0"/>
    <w:rPr>
      <w:b/>
      <w:kern w:val="44"/>
      <w:sz w:val="44"/>
    </w:rPr>
  </w:style>
  <w:style w:type="character" w:customStyle="1" w:styleId="16">
    <w:name w:val="标题 2 Char"/>
    <w:link w:val="3"/>
    <w:qFormat/>
    <w:uiPriority w:val="0"/>
    <w:rPr>
      <w:rFonts w:ascii="Arial" w:hAnsi="Arial" w:eastAsia="黑体"/>
      <w:b/>
      <w:sz w:val="32"/>
    </w:rPr>
  </w:style>
  <w:style w:type="paragraph" w:customStyle="1" w:styleId="17">
    <w:name w:val="Normal_ebf0f98a-f81b-43bf-b96c-f0d21189bc2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文本缩进1"/>
    <w:basedOn w:val="17"/>
    <w:next w:val="15"/>
    <w:qFormat/>
    <w:uiPriority w:val="0"/>
    <w:pPr>
      <w:ind w:firstLine="630"/>
    </w:pPr>
  </w:style>
  <w:style w:type="paragraph" w:customStyle="1" w:styleId="19">
    <w:name w:val="正文首行缩进 21"/>
    <w:basedOn w:val="18"/>
    <w:next w:val="1"/>
    <w:qFormat/>
    <w:uiPriority w:val="0"/>
    <w:pPr>
      <w:spacing w:after="120" w:afterLines="0"/>
      <w:ind w:left="200" w:leftChars="200" w:firstLine="420" w:firstLineChars="200"/>
    </w:pPr>
    <w:rPr>
      <w:rFonts w:ascii="Times New Roman"/>
    </w:rPr>
  </w:style>
  <w:style w:type="table" w:customStyle="1" w:styleId="20">
    <w:name w:val="普通表格1"/>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Office">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2023-08-09T09:32:00Z</dcterms:created>
  <dc:creator>审计风控部LJ</dc:creator>
  <cp:lastModifiedBy>审核</cp:lastModifiedBy>
  <dcterms:modified xsi:type="dcterms:W3CDTF">2024-09-10T07:00:57Z</dcterms:modified>
  <cp:revision>1</cp:revision>
</cp:coreProperties>
</file>

<file path=customXml/item3.xml><?xml version="1.0" encoding="utf-8"?>
<Properties xmlns="http://schemas.openxmlformats.org/officeDocument/2006/extended-properties" xmlns:vt="http://schemas.openxmlformats.org/officeDocument/2006/docPropsVTypes">
  <Template>Normal.dotm</Template>
  <Pages>42</Pages>
  <Words>7418</Words>
  <Characters>21596</Characters>
  <Lines>1</Lines>
  <Paragraphs>1</Paragraphs>
  <TotalTime>6</TotalTime>
  <ScaleCrop>false</ScaleCrop>
  <LinksUpToDate>false</LinksUpToDate>
  <CharactersWithSpaces>21812</CharactersWithSpaces>
  <Application>WPS Office_12.1.0.17827_F1E327BC-269C-435d-A152-05C5408002CA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7B3170E6D50647F481A3EF80540E74D2_13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219909-dd7b-4162-9b4d-6085eba303db}">
  <ds:schemaRefs/>
</ds:datastoreItem>
</file>

<file path=customXml/itemProps3.xml><?xml version="1.0" encoding="utf-8"?>
<ds:datastoreItem xmlns:ds="http://schemas.openxmlformats.org/officeDocument/2006/customXml" ds:itemID="{55860016-0297-4955-ab4f-cc238c65492e}">
  <ds:schemaRefs/>
</ds:datastoreItem>
</file>

<file path=customXml/itemProps4.xml><?xml version="1.0" encoding="utf-8"?>
<ds:datastoreItem xmlns:ds="http://schemas.openxmlformats.org/officeDocument/2006/customXml" ds:itemID="{da32df6d-7772-428d-b826-246e8f3c964e}">
  <ds:schemaRefs/>
</ds:datastoreItem>
</file>

<file path=docProps/app.xml><?xml version="1.0" encoding="utf-8"?>
<Properties xmlns="http://schemas.openxmlformats.org/officeDocument/2006/extended-properties" xmlns:vt="http://schemas.openxmlformats.org/officeDocument/2006/docPropsVTypes">
  <Template>Normal.dotm</Template>
  <Pages>45</Pages>
  <Words>7418</Words>
  <Characters>21596</Characters>
  <Lines>1</Lines>
  <Paragraphs>1</Paragraphs>
  <TotalTime>6</TotalTime>
  <ScaleCrop>false</ScaleCrop>
  <LinksUpToDate>false</LinksUpToDate>
  <CharactersWithSpaces>21812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2023-08-09T09:32:00Z</dcterms:created>
  <dc:creator>审计风控部LJ</dc:creator>
  <cp:lastModifiedBy>尘</cp:lastModifiedBy>
  <dcterms:modified xsi:type="dcterms:W3CDTF">2024-09-12T02:28:48Z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7B3170E6D50647F481A3EF80540E74D2_13</vt:lpwstr>
  </property>
</Properties>
</file>